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eastAsia" w:eastAsia="方正小标宋简体" w:cs="Times New Roman"/>
          <w:b w:val="0"/>
          <w:bCs/>
          <w:sz w:val="44"/>
          <w:szCs w:val="44"/>
          <w:lang w:val="en-US" w:eastAsia="zh-CN"/>
        </w:rPr>
      </w:pPr>
      <w:bookmarkStart w:id="0" w:name="_Toc15002"/>
      <w:r>
        <w:rPr>
          <w:rFonts w:hint="eastAsia" w:eastAsia="方正小标宋简体" w:cs="Times New Roman"/>
          <w:b w:val="0"/>
          <w:bCs/>
          <w:sz w:val="44"/>
          <w:szCs w:val="44"/>
          <w:lang w:val="en-US" w:eastAsia="zh-CN"/>
        </w:rPr>
        <w:t>中国人民银行宁夏回族自治区分行</w:t>
      </w:r>
    </w:p>
    <w:p>
      <w:pPr>
        <w:pStyle w:val="2"/>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简体" w:cs="Times New Roman"/>
          <w:b w:val="0"/>
          <w:bCs/>
          <w:sz w:val="44"/>
          <w:szCs w:val="44"/>
          <w:lang w:val="en-US"/>
        </w:rPr>
      </w:pPr>
      <w:r>
        <w:rPr>
          <w:rFonts w:hint="eastAsia" w:eastAsia="方正小标宋简体" w:cs="Times New Roman"/>
          <w:b w:val="0"/>
          <w:bCs/>
          <w:sz w:val="44"/>
          <w:szCs w:val="44"/>
          <w:lang w:val="en-US" w:eastAsia="zh-CN"/>
        </w:rPr>
        <w:t>地方</w:t>
      </w:r>
      <w:r>
        <w:rPr>
          <w:rFonts w:hint="default" w:ascii="Times New Roman" w:hAnsi="Times New Roman" w:eastAsia="方正小标宋简体" w:cs="Times New Roman"/>
          <w:b w:val="0"/>
          <w:bCs/>
          <w:sz w:val="44"/>
          <w:szCs w:val="44"/>
          <w:lang w:val="en-US"/>
        </w:rPr>
        <w:t>国库集中收付代理银行资格认定</w:t>
      </w:r>
    </w:p>
    <w:p>
      <w:pPr>
        <w:pStyle w:val="2"/>
        <w:keepNext/>
        <w:keepLines/>
        <w:pageBreakBefore w:val="0"/>
        <w:widowControl w:val="0"/>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简体" w:cs="Times New Roman"/>
          <w:b w:val="0"/>
          <w:bCs/>
          <w:sz w:val="44"/>
          <w:szCs w:val="44"/>
          <w:lang w:val="en-US"/>
        </w:rPr>
      </w:pPr>
      <w:r>
        <w:rPr>
          <w:rFonts w:hint="eastAsia" w:eastAsia="方正小标宋简体" w:cs="Times New Roman"/>
          <w:b w:val="0"/>
          <w:bCs/>
          <w:sz w:val="44"/>
          <w:szCs w:val="44"/>
          <w:lang w:val="en-US" w:eastAsia="zh-CN"/>
        </w:rPr>
        <w:t>服务</w:t>
      </w:r>
      <w:r>
        <w:rPr>
          <w:rFonts w:hint="default" w:ascii="Times New Roman" w:hAnsi="Times New Roman" w:eastAsia="方正小标宋简体" w:cs="Times New Roman"/>
          <w:b w:val="0"/>
          <w:bCs/>
          <w:sz w:val="44"/>
          <w:szCs w:val="44"/>
          <w:lang w:val="en-US"/>
        </w:rPr>
        <w:t>指南</w:t>
      </w:r>
      <w:bookmarkEnd w:id="0"/>
    </w:p>
    <w:p>
      <w:pPr>
        <w:rPr>
          <w:rFonts w:hint="default"/>
          <w:lang w:val="en-US"/>
        </w:rPr>
      </w:pP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rPr>
        <w:t>事项名称</w:t>
      </w:r>
    </w:p>
    <w:p>
      <w:pPr>
        <w:widowControl w:val="0"/>
        <w:wordWrap/>
        <w:adjustRightInd/>
        <w:snapToGrid/>
        <w:spacing w:line="240" w:lineRule="auto"/>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地方</w:t>
      </w:r>
      <w:r>
        <w:rPr>
          <w:rFonts w:hint="default" w:ascii="Times New Roman" w:hAnsi="Times New Roman" w:eastAsia="仿宋_GB2312" w:cs="Times New Roman"/>
          <w:sz w:val="32"/>
          <w:szCs w:val="32"/>
          <w:lang w:val="en-US"/>
        </w:rPr>
        <w:t>国库集中收付代理银行资格认定</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事项类别</w:t>
      </w:r>
    </w:p>
    <w:p>
      <w:pPr>
        <w:widowControl w:val="0"/>
        <w:wordWrap/>
        <w:adjustRightInd/>
        <w:snapToGrid/>
        <w:spacing w:line="240" w:lineRule="auto"/>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行政许可项目</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pPr>
        <w:widowControl w:val="0"/>
        <w:wordWrap/>
        <w:adjustRightInd/>
        <w:snapToGrid/>
        <w:spacing w:line="240" w:lineRule="auto"/>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商业银行、信用社</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审查类型</w:t>
      </w:r>
    </w:p>
    <w:p>
      <w:pPr>
        <w:widowControl w:val="0"/>
        <w:numPr>
          <w:ilvl w:val="0"/>
          <w:numId w:val="0"/>
        </w:numPr>
        <w:wordWrap/>
        <w:adjustRightInd/>
        <w:snapToGrid/>
        <w:spacing w:line="240" w:lineRule="auto"/>
        <w:ind w:left="630" w:leftChars="0" w:right="0" w:rightChars="0"/>
        <w:jc w:val="both"/>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先审后批。</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rPr>
        <w:t>办事依据</w:t>
      </w:r>
    </w:p>
    <w:p>
      <w:pPr>
        <w:widowControl w:val="0"/>
        <w:wordWrap/>
        <w:adjustRightInd/>
        <w:snapToGrid/>
        <w:spacing w:line="240" w:lineRule="auto"/>
        <w:ind w:left="0" w:leftChars="0" w:righ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《关于全面实行行政许可事项清单管理的通知》（国办发〔2022〕2号）、</w:t>
      </w:r>
      <w:r>
        <w:rPr>
          <w:rFonts w:hint="default" w:ascii="Times New Roman" w:hAnsi="Times New Roman" w:eastAsia="仿宋_GB2312" w:cs="Times New Roman"/>
          <w:color w:val="auto"/>
          <w:sz w:val="32"/>
          <w:szCs w:val="32"/>
          <w:lang w:eastAsia="zh-CN"/>
        </w:rPr>
        <w:t>《中国人民银行行政许可实施办法》（中国人民银行令</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〕1号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rPr>
        <w:t>《关于印发&lt;宁夏地方国库集中收付代理银行资格认定实施办法&gt;的通知》（银</w:t>
      </w:r>
      <w:r>
        <w:rPr>
          <w:rFonts w:hint="default" w:ascii="Times New Roman" w:hAnsi="Times New Roman" w:eastAsia="仿宋_GB2312" w:cs="Times New Roman"/>
          <w:sz w:val="32"/>
          <w:szCs w:val="32"/>
          <w:lang w:val="en-US"/>
        </w:rPr>
        <w:t>银发〔2010〕52号）</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受理机构</w:t>
      </w:r>
      <w:r>
        <w:rPr>
          <w:rFonts w:hint="eastAsia" w:ascii="黑体" w:hAnsi="黑体" w:eastAsia="黑体" w:cs="黑体"/>
          <w:b w:val="0"/>
          <w:bCs w:val="0"/>
          <w:sz w:val="32"/>
          <w:szCs w:val="32"/>
          <w:lang w:val="en-US" w:eastAsia="zh-CN"/>
        </w:rPr>
        <w:t>及职能部门</w:t>
      </w:r>
    </w:p>
    <w:p>
      <w:pPr>
        <w:widowControl w:val="0"/>
        <w:wordWrap/>
        <w:adjustRightInd/>
        <w:snapToGrid/>
        <w:spacing w:line="240" w:lineRule="auto"/>
        <w:ind w:righ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受理机构：</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color w:val="auto"/>
          <w:sz w:val="32"/>
          <w:szCs w:val="32"/>
          <w:lang w:val="en-US" w:eastAsia="zh-CN"/>
        </w:rPr>
        <w:t>。</w:t>
      </w:r>
    </w:p>
    <w:p>
      <w:pPr>
        <w:widowControl w:val="0"/>
        <w:wordWrap/>
        <w:adjustRightInd/>
        <w:snapToGrid/>
        <w:spacing w:line="240" w:lineRule="auto"/>
        <w:ind w:right="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color w:val="auto"/>
          <w:sz w:val="32"/>
          <w:szCs w:val="32"/>
          <w:lang w:val="en-US" w:eastAsia="zh-CN"/>
        </w:rPr>
        <w:t>职能部门：中国人民银行宁夏回族自治区分行</w:t>
      </w:r>
      <w:r>
        <w:rPr>
          <w:rFonts w:hint="default" w:ascii="Times New Roman" w:hAnsi="Times New Roman" w:eastAsia="仿宋_GB2312" w:cs="Times New Roman"/>
          <w:color w:val="auto"/>
          <w:sz w:val="32"/>
          <w:szCs w:val="32"/>
          <w:lang w:val="en-US"/>
        </w:rPr>
        <w:t>国库处</w:t>
      </w:r>
      <w:r>
        <w:rPr>
          <w:rFonts w:hint="eastAsia" w:eastAsia="仿宋_GB2312" w:cs="Times New Roman"/>
          <w:color w:val="auto"/>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审核</w:t>
      </w:r>
      <w:r>
        <w:rPr>
          <w:rFonts w:hint="eastAsia" w:ascii="黑体" w:hAnsi="黑体" w:eastAsia="黑体" w:cs="黑体"/>
          <w:b w:val="0"/>
          <w:bCs w:val="0"/>
          <w:sz w:val="32"/>
          <w:szCs w:val="32"/>
          <w:lang w:val="en-US"/>
        </w:rPr>
        <w:t>机构</w:t>
      </w:r>
    </w:p>
    <w:p>
      <w:pPr>
        <w:widowControl w:val="0"/>
        <w:wordWrap/>
        <w:adjustRightInd/>
        <w:snapToGrid/>
        <w:spacing w:line="240" w:lineRule="auto"/>
        <w:ind w:right="0"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决定机构</w:t>
      </w:r>
    </w:p>
    <w:p>
      <w:pPr>
        <w:widowControl w:val="0"/>
        <w:wordWrap/>
        <w:adjustRightInd/>
        <w:snapToGrid/>
        <w:spacing w:line="240" w:lineRule="auto"/>
        <w:ind w:left="0" w:leftChars="0" w:right="0" w:firstLine="0" w:firstLineChars="0"/>
        <w:textAlignment w:val="auto"/>
        <w:outlineLvl w:val="9"/>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申请</w:t>
      </w:r>
      <w:r>
        <w:rPr>
          <w:rFonts w:hint="eastAsia" w:ascii="黑体" w:hAnsi="黑体" w:eastAsia="黑体" w:cs="黑体"/>
          <w:b w:val="0"/>
          <w:bCs w:val="0"/>
          <w:sz w:val="32"/>
          <w:szCs w:val="32"/>
          <w:lang w:val="en-US"/>
        </w:rPr>
        <w:t>条件</w:t>
      </w:r>
    </w:p>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rPr>
        <w:t>国库集中收付代理银行应当具备下列条件：</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1.</w:t>
      </w:r>
      <w:r>
        <w:rPr>
          <w:rFonts w:hint="default" w:ascii="Times New Roman" w:hAnsi="Times New Roman" w:eastAsia="仿宋_GB2312" w:cs="Times New Roman"/>
          <w:sz w:val="32"/>
          <w:szCs w:val="32"/>
          <w:lang w:val="en-US"/>
        </w:rPr>
        <w:t>持有依法核发的《金融许可证》以及</w:t>
      </w:r>
      <w:r>
        <w:rPr>
          <w:rFonts w:hint="eastAsia" w:eastAsia="仿宋_GB2312" w:cs="Times New Roman"/>
          <w:sz w:val="32"/>
          <w:szCs w:val="32"/>
          <w:lang w:val="en-US" w:eastAsia="zh-CN"/>
        </w:rPr>
        <w:t>市场监督</w:t>
      </w:r>
      <w:r>
        <w:rPr>
          <w:rFonts w:hint="default" w:ascii="Times New Roman" w:hAnsi="Times New Roman" w:eastAsia="仿宋_GB2312" w:cs="Times New Roman"/>
          <w:sz w:val="32"/>
          <w:szCs w:val="32"/>
          <w:lang w:val="en-US"/>
        </w:rPr>
        <w:t>管理部门颁发的营业执照，并年检合格。</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rPr>
        <w:t>金融业务经营规范，申请前两年内无重大金融、财经和代理国库业务违法行为。</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rPr>
        <w:t>资金实力雄厚，资产状况良好，具有较充足的备付金头寸和较强的风险控制能力，经营业绩良好。</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rPr>
        <w:t>经营网点数量与分布能够满足地方国库集中收付业务需要。</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rPr>
        <w:t>是支付系统的参与者，能够以大额支付系统与国库清算资金。具备先进的行内资金汇划系统，能保证资金汇划在系统内实时到账。</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rPr>
        <w:t>内部管理规范，内控制度健全，具有严格的操作规程和保密措施，能从制度和技术两方面保障资金安全。</w:t>
      </w:r>
    </w:p>
    <w:p>
      <w:pPr>
        <w:widowControl w:val="0"/>
        <w:wordWrap/>
        <w:adjustRightInd/>
        <w:snapToGrid/>
        <w:spacing w:line="240" w:lineRule="auto"/>
        <w:ind w:left="0" w:leftChars="0" w:right="0" w:firstLine="160" w:firstLineChars="0"/>
        <w:textAlignment w:val="auto"/>
        <w:outlineLvl w:val="9"/>
        <w:rPr>
          <w:rFonts w:hint="default" w:ascii="Times New Roman" w:hAnsi="Times New Roman" w:eastAsia="仿宋_GB2312" w:cs="Times New Roman"/>
          <w:color w:val="auto"/>
          <w:sz w:val="32"/>
          <w:szCs w:val="32"/>
          <w:lang w:val="en-US"/>
        </w:rPr>
      </w:pPr>
      <w:r>
        <w:rPr>
          <w:rFonts w:hint="eastAsia" w:eastAsia="仿宋_GB2312" w:cs="Times New Roman"/>
          <w:color w:val="auto"/>
          <w:sz w:val="32"/>
          <w:szCs w:val="32"/>
          <w:lang w:val="en-US" w:eastAsia="zh-CN"/>
        </w:rPr>
        <w:t xml:space="preserve">   7.申请人</w:t>
      </w:r>
      <w:r>
        <w:rPr>
          <w:rFonts w:hint="default" w:ascii="Times New Roman" w:hAnsi="Times New Roman" w:eastAsia="仿宋_GB2312" w:cs="Times New Roman"/>
          <w:color w:val="auto"/>
          <w:sz w:val="32"/>
          <w:szCs w:val="32"/>
          <w:lang w:val="en-US"/>
        </w:rPr>
        <w:t>申请认定时，其清算行应已经通过了认定或者与</w:t>
      </w:r>
      <w:r>
        <w:rPr>
          <w:rFonts w:hint="eastAsia" w:eastAsia="仿宋_GB2312" w:cs="Times New Roman"/>
          <w:color w:val="auto"/>
          <w:sz w:val="32"/>
          <w:szCs w:val="32"/>
          <w:lang w:val="en-US" w:eastAsia="zh-CN"/>
        </w:rPr>
        <w:t>其</w:t>
      </w:r>
      <w:r>
        <w:rPr>
          <w:rFonts w:hint="default" w:ascii="Times New Roman" w:hAnsi="Times New Roman" w:eastAsia="仿宋_GB2312" w:cs="Times New Roman"/>
          <w:color w:val="auto"/>
          <w:sz w:val="32"/>
          <w:szCs w:val="32"/>
          <w:lang w:val="en-US"/>
        </w:rPr>
        <w:t>清算行同时申请。</w:t>
      </w:r>
      <w:r>
        <w:rPr>
          <w:rFonts w:hint="eastAsia" w:eastAsia="仿宋_GB2312" w:cs="Times New Roman"/>
          <w:color w:val="auto"/>
          <w:sz w:val="32"/>
          <w:szCs w:val="32"/>
          <w:lang w:val="en-US" w:eastAsia="zh-CN"/>
        </w:rPr>
        <w:t>同时，其</w:t>
      </w:r>
      <w:r>
        <w:rPr>
          <w:rFonts w:hint="default" w:ascii="Times New Roman" w:hAnsi="Times New Roman" w:eastAsia="仿宋_GB2312" w:cs="Times New Roman"/>
          <w:color w:val="auto"/>
          <w:sz w:val="32"/>
          <w:szCs w:val="32"/>
          <w:lang w:val="en-US"/>
        </w:rPr>
        <w:t>清算行应在人民银行分支机构开</w:t>
      </w:r>
      <w:r>
        <w:rPr>
          <w:rFonts w:hint="default" w:ascii="Times New Roman" w:hAnsi="Times New Roman" w:eastAsia="仿宋_GB2312" w:cs="Times New Roman"/>
          <w:color w:val="auto"/>
          <w:sz w:val="32"/>
          <w:szCs w:val="32"/>
          <w:highlight w:val="none"/>
          <w:lang w:val="en-US"/>
        </w:rPr>
        <w:t>有准备金（备付金）账户</w:t>
      </w:r>
      <w:r>
        <w:rPr>
          <w:rFonts w:hint="default" w:ascii="Times New Roman" w:hAnsi="Times New Roman" w:eastAsia="仿宋_GB2312" w:cs="Times New Roman"/>
          <w:color w:val="auto"/>
          <w:sz w:val="32"/>
          <w:szCs w:val="32"/>
          <w:lang w:val="en-US"/>
        </w:rPr>
        <w:t>。</w:t>
      </w:r>
    </w:p>
    <w:p>
      <w:pPr>
        <w:widowControl w:val="0"/>
        <w:wordWrap/>
        <w:adjustRightInd/>
        <w:snapToGrid/>
        <w:spacing w:line="240" w:lineRule="auto"/>
        <w:ind w:left="0" w:leftChars="0" w:righ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8.主办行与清算行应属同一法人机构。</w:t>
      </w:r>
    </w:p>
    <w:p>
      <w:pPr>
        <w:widowControl w:val="0"/>
        <w:wordWrap/>
        <w:adjustRightInd/>
        <w:snapToGrid/>
        <w:spacing w:line="240" w:lineRule="auto"/>
        <w:ind w:left="0" w:leftChars="0" w:right="0" w:firstLine="640" w:firstLineChars="200"/>
        <w:textAlignment w:val="auto"/>
        <w:outlineLvl w:val="9"/>
        <w:rPr>
          <w:rFonts w:hint="default" w:ascii="Times New Roman" w:hAnsi="Times New Roman" w:eastAsia="仿宋_GB2312" w:cs="Times New Roman"/>
          <w:color w:val="auto"/>
          <w:sz w:val="32"/>
          <w:szCs w:val="32"/>
          <w:lang w:val="en-US"/>
        </w:rPr>
      </w:pPr>
      <w:r>
        <w:rPr>
          <w:rFonts w:hint="eastAsia" w:eastAsia="仿宋_GB2312" w:cs="Times New Roman"/>
          <w:color w:val="auto"/>
          <w:sz w:val="32"/>
          <w:szCs w:val="32"/>
          <w:lang w:val="en-US" w:eastAsia="zh-CN"/>
        </w:rPr>
        <w:t>9.申请人的业务系统</w:t>
      </w:r>
      <w:r>
        <w:rPr>
          <w:rFonts w:hint="default" w:ascii="Times New Roman" w:hAnsi="Times New Roman" w:eastAsia="仿宋_GB2312" w:cs="Times New Roman"/>
          <w:color w:val="auto"/>
          <w:sz w:val="32"/>
          <w:szCs w:val="32"/>
          <w:lang w:val="en-US"/>
        </w:rPr>
        <w:t>，能够及时、全面、准确地向国库和财政反映所代理的国库集中收付业务信息</w:t>
      </w:r>
      <w:r>
        <w:rPr>
          <w:rFonts w:hint="eastAsia" w:eastAsia="仿宋_GB2312" w:cs="Times New Roman"/>
          <w:color w:val="auto"/>
          <w:sz w:val="32"/>
          <w:szCs w:val="32"/>
          <w:lang w:val="en-US" w:eastAsia="zh-CN"/>
        </w:rPr>
        <w:t>，满足国库集中收付业务需要。</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rPr>
        <w:t>申请材料</w:t>
      </w:r>
    </w:p>
    <w:p>
      <w:pPr>
        <w:widowControl w:val="0"/>
        <w:wordWrap/>
        <w:adjustRightInd/>
        <w:snapToGrid/>
        <w:spacing w:line="240" w:lineRule="auto"/>
        <w:ind w:right="0" w:firstLine="640" w:firstLineChars="200"/>
        <w:textAlignment w:val="auto"/>
        <w:outlineLvl w:val="9"/>
        <w:rPr>
          <w:rFonts w:hint="eastAsia" w:eastAsia="仿宋_GB2312" w:cs="Times New Roman"/>
          <w:color w:val="auto"/>
          <w:sz w:val="32"/>
          <w:szCs w:val="32"/>
          <w:u w:val="none"/>
          <w:lang w:val="en-US" w:eastAsia="zh-CN"/>
        </w:rPr>
      </w:pPr>
      <w:r>
        <w:rPr>
          <w:rFonts w:hint="default" w:ascii="Times New Roman" w:hAnsi="Times New Roman" w:eastAsia="仿宋_GB2312" w:cs="Times New Roman"/>
          <w:sz w:val="32"/>
          <w:szCs w:val="32"/>
          <w:lang w:val="en-US"/>
        </w:rPr>
        <w:t>申请代理国库集中收付业务的商业银行应向</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default" w:ascii="Times New Roman" w:hAnsi="Times New Roman" w:eastAsia="仿宋_GB2312" w:cs="Times New Roman"/>
          <w:sz w:val="32"/>
          <w:szCs w:val="32"/>
          <w:lang w:val="en-US"/>
        </w:rPr>
        <w:t>提交以下申请材料</w:t>
      </w:r>
      <w:r>
        <w:rPr>
          <w:rFonts w:hint="eastAsia" w:eastAsia="仿宋_GB2312" w:cs="Times New Roman"/>
          <w:sz w:val="32"/>
          <w:szCs w:val="32"/>
          <w:lang w:val="en-US" w:eastAsia="zh-CN"/>
        </w:rPr>
        <w:t>（见申请材料汇总表）。</w:t>
      </w:r>
      <w:r>
        <w:rPr>
          <w:rFonts w:hint="eastAsia" w:eastAsia="仿宋_GB2312" w:cs="Times New Roman"/>
          <w:sz w:val="32"/>
          <w:szCs w:val="32"/>
          <w:u w:val="none"/>
          <w:lang w:val="en-US" w:eastAsia="zh-CN"/>
        </w:rPr>
        <w:t>申请人提交</w:t>
      </w:r>
      <w:r>
        <w:rPr>
          <w:rFonts w:hint="eastAsia" w:eastAsia="仿宋_GB2312" w:cs="Times New Roman"/>
          <w:color w:val="auto"/>
          <w:sz w:val="32"/>
          <w:szCs w:val="32"/>
          <w:u w:val="none"/>
          <w:lang w:val="en-US" w:eastAsia="zh-CN"/>
        </w:rPr>
        <w:t>申请资料时，应当出示单位统一社会信用代码证或营业执照，以及法定代表人身份证明文件或者主要负责人身份证明文件、授权委托书、被委托人身份证件等身份证明文件备查。其中：社会信用代码证或营业执照可采用告知承诺制。</w:t>
      </w:r>
    </w:p>
    <w:p>
      <w:pPr>
        <w:widowControl w:val="0"/>
        <w:wordWrap/>
        <w:adjustRightInd/>
        <w:snapToGrid/>
        <w:spacing w:line="240" w:lineRule="auto"/>
        <w:ind w:right="0" w:firstLine="300" w:firstLineChars="200"/>
        <w:textAlignment w:val="auto"/>
        <w:outlineLvl w:val="9"/>
        <w:rPr>
          <w:rFonts w:hint="eastAsia" w:eastAsia="仿宋_GB2312" w:cs="Times New Roman"/>
          <w:color w:val="auto"/>
          <w:sz w:val="15"/>
          <w:szCs w:val="15"/>
          <w:u w:val="none"/>
          <w:lang w:val="en-US" w:eastAsia="zh-CN"/>
        </w:rPr>
      </w:pPr>
    </w:p>
    <w:p>
      <w:pPr>
        <w:widowControl w:val="0"/>
        <w:wordWrap/>
        <w:adjustRightInd/>
        <w:snapToGrid/>
        <w:spacing w:line="240" w:lineRule="auto"/>
        <w:ind w:right="0"/>
        <w:jc w:val="center"/>
        <w:textAlignment w:val="auto"/>
        <w:outlineLvl w:val="9"/>
        <w:rPr>
          <w:rFonts w:hint="eastAsia" w:ascii="黑体" w:hAnsi="黑体" w:eastAsia="黑体" w:cs="黑体"/>
          <w:sz w:val="21"/>
          <w:szCs w:val="21"/>
          <w:u w:val="none"/>
          <w:lang w:val="en-US" w:eastAsia="zh-CN"/>
        </w:rPr>
      </w:pPr>
      <w:r>
        <w:rPr>
          <w:rFonts w:hint="eastAsia" w:ascii="黑体" w:hAnsi="黑体" w:eastAsia="黑体" w:cs="黑体"/>
          <w:sz w:val="21"/>
          <w:szCs w:val="21"/>
          <w:u w:val="none"/>
          <w:lang w:val="en-US" w:eastAsia="zh-CN"/>
        </w:rPr>
        <w:t>申请材料汇总表</w:t>
      </w:r>
    </w:p>
    <w:tbl>
      <w:tblPr>
        <w:tblStyle w:val="15"/>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10"/>
        <w:gridCol w:w="756"/>
        <w:gridCol w:w="467"/>
        <w:gridCol w:w="3602"/>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70" w:type="dxa"/>
            <w:vAlign w:val="center"/>
          </w:tcPr>
          <w:p>
            <w:pPr>
              <w:widowControl w:val="0"/>
              <w:wordWrap/>
              <w:adjustRightInd/>
              <w:snapToGrid/>
              <w:spacing w:line="240" w:lineRule="auto"/>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310" w:type="dxa"/>
            <w:vAlign w:val="center"/>
          </w:tcPr>
          <w:p>
            <w:pPr>
              <w:widowControl w:val="0"/>
              <w:wordWrap/>
              <w:adjustRightInd/>
              <w:snapToGrid/>
              <w:spacing w:line="240" w:lineRule="auto"/>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提交材料名称</w:t>
            </w:r>
          </w:p>
        </w:tc>
        <w:tc>
          <w:tcPr>
            <w:tcW w:w="756" w:type="dxa"/>
            <w:vAlign w:val="center"/>
          </w:tcPr>
          <w:p>
            <w:pPr>
              <w:widowControl w:val="0"/>
              <w:wordWrap/>
              <w:adjustRightInd/>
              <w:snapToGrid/>
              <w:spacing w:line="240" w:lineRule="auto"/>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原件/复印件</w:t>
            </w:r>
          </w:p>
        </w:tc>
        <w:tc>
          <w:tcPr>
            <w:tcW w:w="467" w:type="dxa"/>
            <w:vAlign w:val="center"/>
          </w:tcPr>
          <w:p>
            <w:pPr>
              <w:widowControl w:val="0"/>
              <w:wordWrap/>
              <w:adjustRightInd/>
              <w:snapToGrid/>
              <w:spacing w:line="240" w:lineRule="auto"/>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份数</w:t>
            </w:r>
          </w:p>
        </w:tc>
        <w:tc>
          <w:tcPr>
            <w:tcW w:w="3602" w:type="dxa"/>
            <w:vAlign w:val="center"/>
          </w:tcPr>
          <w:p>
            <w:pPr>
              <w:widowControl w:val="0"/>
              <w:wordWrap/>
              <w:adjustRightInd/>
              <w:snapToGrid/>
              <w:spacing w:line="240" w:lineRule="auto"/>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w:t>
            </w:r>
          </w:p>
        </w:tc>
        <w:tc>
          <w:tcPr>
            <w:tcW w:w="1218" w:type="dxa"/>
            <w:vAlign w:val="center"/>
          </w:tcPr>
          <w:p>
            <w:pPr>
              <w:widowControl w:val="0"/>
              <w:wordWrap/>
              <w:adjustRightInd/>
              <w:snapToGrid/>
              <w:spacing w:line="240" w:lineRule="auto"/>
              <w:ind w:right="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w:t>
            </w:r>
          </w:p>
        </w:tc>
        <w:tc>
          <w:tcPr>
            <w:tcW w:w="131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申请书</w:t>
            </w:r>
          </w:p>
        </w:tc>
        <w:tc>
          <w:tcPr>
            <w:tcW w:w="756"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原件</w:t>
            </w:r>
          </w:p>
        </w:tc>
        <w:tc>
          <w:tcPr>
            <w:tcW w:w="467"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包括以下内容：机构设置、主管部门职责、人员配备、岗位责任、信息系统建设、资金汇划渠道等各种内部管理制度和风险防范机制说明；拟代理国库集中收付业务</w:t>
            </w:r>
            <w:r>
              <w:rPr>
                <w:rFonts w:hint="default" w:ascii="Times New Roman" w:hAnsi="Times New Roman" w:eastAsia="仿宋_GB2312" w:cs="Times New Roman"/>
                <w:color w:val="auto"/>
                <w:sz w:val="21"/>
                <w:szCs w:val="21"/>
                <w:lang w:val="en-US"/>
              </w:rPr>
              <w:t>时</w:t>
            </w:r>
            <w:r>
              <w:rPr>
                <w:rFonts w:hint="eastAsia" w:eastAsia="仿宋_GB2312" w:cs="Times New Roman"/>
                <w:color w:val="auto"/>
                <w:sz w:val="21"/>
                <w:szCs w:val="21"/>
                <w:lang w:val="en-US" w:eastAsia="zh-CN"/>
              </w:rPr>
              <w:t>资金收缴流程、资金垫</w:t>
            </w:r>
            <w:r>
              <w:rPr>
                <w:rFonts w:hint="default" w:ascii="Times New Roman" w:hAnsi="Times New Roman" w:eastAsia="仿宋_GB2312" w:cs="Times New Roman"/>
                <w:color w:val="auto"/>
                <w:sz w:val="21"/>
                <w:szCs w:val="21"/>
                <w:lang w:val="en-US"/>
              </w:rPr>
              <w:t>付</w:t>
            </w:r>
            <w:r>
              <w:rPr>
                <w:rFonts w:hint="eastAsia" w:eastAsia="仿宋_GB2312" w:cs="Times New Roman"/>
                <w:color w:val="auto"/>
                <w:sz w:val="21"/>
                <w:szCs w:val="21"/>
                <w:lang w:val="en-US" w:eastAsia="zh-CN"/>
              </w:rPr>
              <w:t>流程</w:t>
            </w:r>
            <w:r>
              <w:rPr>
                <w:rFonts w:hint="default" w:ascii="Times New Roman" w:hAnsi="Times New Roman" w:eastAsia="仿宋_GB2312" w:cs="Times New Roman"/>
                <w:color w:val="auto"/>
                <w:sz w:val="21"/>
                <w:szCs w:val="21"/>
                <w:lang w:val="en-US"/>
              </w:rPr>
              <w:t>和向人民银行分支机构进行资金清算的流程和有</w:t>
            </w:r>
            <w:r>
              <w:rPr>
                <w:rFonts w:hint="default" w:ascii="Times New Roman" w:hAnsi="Times New Roman" w:eastAsia="仿宋_GB2312" w:cs="Times New Roman"/>
                <w:sz w:val="21"/>
                <w:szCs w:val="21"/>
                <w:lang w:val="en-US"/>
              </w:rPr>
              <w:t>关说明；针对国库集中收付业务的特殊性制定的管理措施、计算机硬件配置、软件开发及联网通讯方案等配套措施；服务承诺等内容。</w:t>
            </w:r>
          </w:p>
        </w:tc>
        <w:tc>
          <w:tcPr>
            <w:tcW w:w="1218"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申请书格式见附录2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w:t>
            </w:r>
          </w:p>
        </w:tc>
        <w:tc>
          <w:tcPr>
            <w:tcW w:w="1310"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《金融许可证》</w:t>
            </w:r>
            <w:r>
              <w:rPr>
                <w:rFonts w:hint="eastAsia" w:eastAsia="仿宋_GB2312" w:cs="Times New Roman"/>
                <w:sz w:val="21"/>
                <w:szCs w:val="21"/>
                <w:lang w:val="en-US" w:eastAsia="zh-CN"/>
              </w:rPr>
              <w:t>、市场监督管理部门颁发的营业执照</w:t>
            </w:r>
          </w:p>
        </w:tc>
        <w:tc>
          <w:tcPr>
            <w:tcW w:w="756"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复印件</w:t>
            </w:r>
          </w:p>
        </w:tc>
        <w:tc>
          <w:tcPr>
            <w:tcW w:w="467"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加盖单位公章</w:t>
            </w:r>
          </w:p>
        </w:tc>
        <w:tc>
          <w:tcPr>
            <w:tcW w:w="1218" w:type="dxa"/>
            <w:vAlign w:val="center"/>
          </w:tcPr>
          <w:p>
            <w:pPr>
              <w:widowControl w:val="0"/>
              <w:wordWrap/>
              <w:adjustRightInd/>
              <w:snapToGrid/>
              <w:spacing w:line="240" w:lineRule="auto"/>
              <w:ind w:right="0"/>
              <w:jc w:val="both"/>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该项可选择是否采用“告知承诺制”（见附录3、4）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w:t>
            </w:r>
          </w:p>
        </w:tc>
        <w:tc>
          <w:tcPr>
            <w:tcW w:w="1310"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金融监管部门、审计部门做出的最新监督检查报告和综合评价。</w:t>
            </w:r>
          </w:p>
        </w:tc>
        <w:tc>
          <w:tcPr>
            <w:tcW w:w="756"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复印件</w:t>
            </w:r>
          </w:p>
        </w:tc>
        <w:tc>
          <w:tcPr>
            <w:tcW w:w="467"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p>
        </w:tc>
        <w:tc>
          <w:tcPr>
            <w:tcW w:w="1218"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该项可选择是否采用“告知承诺制”（见附录3、4）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w:t>
            </w:r>
          </w:p>
        </w:tc>
        <w:tc>
          <w:tcPr>
            <w:tcW w:w="1310"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前两个年度资产负债比例表和损益表</w:t>
            </w:r>
          </w:p>
        </w:tc>
        <w:tc>
          <w:tcPr>
            <w:tcW w:w="756"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复印件</w:t>
            </w:r>
          </w:p>
        </w:tc>
        <w:tc>
          <w:tcPr>
            <w:tcW w:w="467"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加盖单位公章</w:t>
            </w:r>
          </w:p>
        </w:tc>
        <w:tc>
          <w:tcPr>
            <w:tcW w:w="1218"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w:t>
            </w:r>
          </w:p>
        </w:tc>
        <w:tc>
          <w:tcPr>
            <w:tcW w:w="1310"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前两个年度代理国库业务情况说明。主要包含代理国库经收业务、代理支库业务和代理国库集中收付业务的办理情况、业务量大小、违规被处罚及整改情况。</w:t>
            </w:r>
          </w:p>
        </w:tc>
        <w:tc>
          <w:tcPr>
            <w:tcW w:w="756"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复印件</w:t>
            </w:r>
          </w:p>
        </w:tc>
        <w:tc>
          <w:tcPr>
            <w:tcW w:w="467"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加盖单位公章</w:t>
            </w:r>
          </w:p>
        </w:tc>
        <w:tc>
          <w:tcPr>
            <w:tcW w:w="1218"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6</w:t>
            </w:r>
          </w:p>
        </w:tc>
        <w:tc>
          <w:tcPr>
            <w:tcW w:w="1310"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前两个年度资金支付结算方面案件发生及查处情况说明。</w:t>
            </w:r>
          </w:p>
        </w:tc>
        <w:tc>
          <w:tcPr>
            <w:tcW w:w="756"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原件</w:t>
            </w:r>
          </w:p>
        </w:tc>
        <w:tc>
          <w:tcPr>
            <w:tcW w:w="467"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加盖单位公章</w:t>
            </w:r>
          </w:p>
        </w:tc>
        <w:tc>
          <w:tcPr>
            <w:tcW w:w="1218"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pPr>
              <w:widowControl w:val="0"/>
              <w:wordWrap/>
              <w:adjustRightInd/>
              <w:snapToGrid/>
              <w:spacing w:line="240" w:lineRule="auto"/>
              <w:ind w:right="0"/>
              <w:jc w:val="center"/>
              <w:textAlignment w:val="auto"/>
              <w:outlineLvl w:val="9"/>
              <w:rPr>
                <w:rFonts w:hint="eastAsia"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7</w:t>
            </w:r>
          </w:p>
        </w:tc>
        <w:tc>
          <w:tcPr>
            <w:tcW w:w="1310"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rPr>
              <w:t>主办行单独申请认定时，应提供其清算行通过认定的文件复印件，且加盖清算行公章；主办行与清算行同时申请的不需提供清算行通过认定的文件复印件。</w:t>
            </w:r>
          </w:p>
        </w:tc>
        <w:tc>
          <w:tcPr>
            <w:tcW w:w="756"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复印件</w:t>
            </w:r>
          </w:p>
        </w:tc>
        <w:tc>
          <w:tcPr>
            <w:tcW w:w="467" w:type="dxa"/>
            <w:vAlign w:val="center"/>
          </w:tcPr>
          <w:p>
            <w:pPr>
              <w:widowControl w:val="0"/>
              <w:wordWrap/>
              <w:adjustRightInd/>
              <w:snapToGrid/>
              <w:spacing w:line="240" w:lineRule="auto"/>
              <w:ind w:right="0"/>
              <w:jc w:val="center"/>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1</w:t>
            </w:r>
          </w:p>
        </w:tc>
        <w:tc>
          <w:tcPr>
            <w:tcW w:w="3602"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r>
              <w:rPr>
                <w:rFonts w:hint="eastAsia" w:eastAsia="仿宋_GB2312" w:cs="Times New Roman"/>
                <w:sz w:val="21"/>
                <w:szCs w:val="21"/>
                <w:lang w:val="en-US" w:eastAsia="zh-CN"/>
              </w:rPr>
              <w:t>加盖单位公章</w:t>
            </w:r>
          </w:p>
        </w:tc>
        <w:tc>
          <w:tcPr>
            <w:tcW w:w="1218" w:type="dxa"/>
            <w:vAlign w:val="center"/>
          </w:tcPr>
          <w:p>
            <w:pPr>
              <w:widowControl w:val="0"/>
              <w:wordWrap/>
              <w:adjustRightInd/>
              <w:snapToGrid/>
              <w:spacing w:line="240" w:lineRule="auto"/>
              <w:ind w:right="0"/>
              <w:jc w:val="both"/>
              <w:textAlignment w:val="auto"/>
              <w:outlineLvl w:val="9"/>
              <w:rPr>
                <w:rFonts w:hint="default" w:ascii="Times New Roman" w:hAnsi="Times New Roman" w:eastAsia="仿宋_GB2312" w:cs="Times New Roman"/>
                <w:sz w:val="21"/>
                <w:szCs w:val="21"/>
                <w:lang w:val="en-US"/>
              </w:rPr>
            </w:pPr>
          </w:p>
        </w:tc>
      </w:tr>
    </w:tbl>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申请接收方式及地址</w:t>
      </w:r>
    </w:p>
    <w:p>
      <w:pPr>
        <w:widowControl w:val="0"/>
        <w:wordWrap/>
        <w:adjustRightInd/>
        <w:snapToGrid/>
        <w:ind w:left="0" w:leftChars="0" w:right="0" w:firstLine="640" w:firstLineChars="200"/>
        <w:jc w:val="both"/>
        <w:textAlignment w:val="auto"/>
        <w:rPr>
          <w:rFonts w:hint="default" w:ascii="Times New Roman" w:hAnsi="Times New Roman" w:eastAsia="仿宋_GB2312" w:cs="Times New Roman"/>
          <w:color w:val="auto"/>
          <w:sz w:val="32"/>
          <w:szCs w:val="32"/>
          <w:lang w:val="en-US"/>
        </w:rPr>
      </w:pPr>
      <w:r>
        <w:rPr>
          <w:rFonts w:hint="eastAsia" w:eastAsia="仿宋_GB2312" w:cs="Times New Roman"/>
          <w:sz w:val="32"/>
          <w:szCs w:val="32"/>
          <w:lang w:val="en-US" w:eastAsia="zh-CN"/>
        </w:rPr>
        <w:t>（一）现场提交申请材料。</w:t>
      </w:r>
      <w:r>
        <w:rPr>
          <w:rFonts w:hint="default" w:ascii="Times New Roman" w:hAnsi="Times New Roman" w:eastAsia="仿宋_GB2312" w:cs="Times New Roman"/>
          <w:b w:val="0"/>
          <w:bCs w:val="0"/>
          <w:color w:val="auto"/>
          <w:sz w:val="32"/>
          <w:szCs w:val="32"/>
          <w:lang w:val="en-US"/>
        </w:rPr>
        <w:t>地址：</w:t>
      </w:r>
      <w:r>
        <w:rPr>
          <w:rFonts w:hint="eastAsia" w:eastAsia="仿宋_GB2312" w:cs="Times New Roman"/>
          <w:b w:val="0"/>
          <w:bCs w:val="0"/>
          <w:color w:val="auto"/>
          <w:sz w:val="32"/>
          <w:szCs w:val="32"/>
          <w:lang w:val="en-US" w:eastAsia="zh-CN"/>
        </w:rPr>
        <w:t>银川市金凤区中海路44号</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color w:val="auto"/>
          <w:sz w:val="32"/>
          <w:szCs w:val="32"/>
          <w:lang w:val="en-US" w:eastAsia="zh-CN"/>
        </w:rPr>
        <w:t>国库处202室。</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Times New Roman" w:hAnsi="Times New Roman" w:eastAsia="宋体" w:cs="Times New Roman"/>
          <w:sz w:val="32"/>
          <w:szCs w:val="32"/>
          <w:lang w:val="en-US" w:eastAsia="zh-CN"/>
        </w:rPr>
      </w:pPr>
      <w:r>
        <w:rPr>
          <w:rFonts w:hint="eastAsia" w:eastAsia="仿宋_GB2312" w:cs="Times New Roman"/>
          <w:sz w:val="32"/>
          <w:szCs w:val="32"/>
          <w:lang w:val="en-US" w:eastAsia="zh-CN"/>
        </w:rPr>
        <w:t>（二）通过中国人民银行政务服务平台在线提交申请材料。网址：https://xzxk.pbc.gov.cn</w:t>
      </w:r>
      <w:r>
        <w:rPr>
          <w:rFonts w:hint="eastAsia"/>
          <w:lang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rPr>
        <w:t>办理</w:t>
      </w:r>
      <w:r>
        <w:rPr>
          <w:rFonts w:hint="eastAsia" w:ascii="黑体" w:hAnsi="黑体" w:eastAsia="黑体" w:cs="黑体"/>
          <w:b w:val="0"/>
          <w:bCs w:val="0"/>
          <w:sz w:val="32"/>
          <w:szCs w:val="32"/>
          <w:lang w:val="en-US" w:eastAsia="zh-CN"/>
        </w:rPr>
        <w:t>流程</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rPr>
        <w:t>一</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申请与受理</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color w:val="000000"/>
          <w:sz w:val="32"/>
          <w:szCs w:val="32"/>
          <w:lang w:val="en-US"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default" w:ascii="Times New Roman" w:hAnsi="Times New Roman" w:eastAsia="仿宋_GB2312" w:cs="Times New Roman"/>
          <w:sz w:val="32"/>
          <w:szCs w:val="32"/>
          <w:lang w:val="en-US"/>
        </w:rPr>
        <w:t>国库处行政许可经办人员受理申请材料</w:t>
      </w:r>
      <w:r>
        <w:rPr>
          <w:rFonts w:hint="eastAsia" w:eastAsia="仿宋_GB2312" w:cs="Times New Roman"/>
          <w:sz w:val="32"/>
          <w:szCs w:val="32"/>
          <w:lang w:val="en-US" w:eastAsia="zh-CN"/>
        </w:rPr>
        <w:t>，及时做好登记手续，并向申请人出具材料接收凭证，载明申请材料接收日期。申请人现场办理的，申请材料</w:t>
      </w:r>
      <w:r>
        <w:rPr>
          <w:rFonts w:hint="eastAsia" w:eastAsia="仿宋_GB2312" w:cs="Times New Roman"/>
          <w:color w:val="000000"/>
          <w:sz w:val="32"/>
          <w:szCs w:val="32"/>
          <w:lang w:val="en-US" w:eastAsia="zh-CN"/>
        </w:rPr>
        <w:t>接收凭证由申请人或者其代理人签字确认。</w:t>
      </w:r>
    </w:p>
    <w:p>
      <w:pPr>
        <w:widowControl w:val="0"/>
        <w:numPr>
          <w:ilvl w:val="0"/>
          <w:numId w:val="0"/>
        </w:numPr>
        <w:wordWrap/>
        <w:adjustRightInd/>
        <w:snapToGrid/>
        <w:spacing w:line="240" w:lineRule="auto"/>
        <w:ind w:left="0" w:leftChars="0" w:right="0" w:firstLine="640" w:firstLineChars="20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2.当场出具行政许可受理通知书、不予受理决定书、补正告知书等的，不再出具申请资料接收凭证。</w:t>
      </w:r>
    </w:p>
    <w:p>
      <w:pPr>
        <w:widowControl w:val="0"/>
        <w:numPr>
          <w:ilvl w:val="0"/>
          <w:numId w:val="0"/>
        </w:numPr>
        <w:wordWrap/>
        <w:adjustRightInd/>
        <w:snapToGrid/>
        <w:spacing w:line="240" w:lineRule="auto"/>
        <w:ind w:left="0" w:leftChars="0" w:right="0" w:firstLine="640" w:firstLineChars="200"/>
        <w:textAlignment w:val="auto"/>
        <w:outlineLvl w:val="9"/>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3.申请材料存在错误可以当场更正的，可以进行当场更正。</w:t>
      </w:r>
    </w:p>
    <w:p>
      <w:pPr>
        <w:widowControl w:val="0"/>
        <w:numPr>
          <w:ilvl w:val="0"/>
          <w:numId w:val="0"/>
        </w:numPr>
        <w:wordWrap/>
        <w:adjustRightInd/>
        <w:snapToGrid/>
        <w:spacing w:line="240" w:lineRule="auto"/>
        <w:ind w:left="420" w:leftChars="200" w:right="0" w:firstLine="320" w:firstLineChars="10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4.申请材料不齐全、不符合法定形式或者存在错误不能</w:t>
      </w:r>
    </w:p>
    <w:p>
      <w:pPr>
        <w:widowControl w:val="0"/>
        <w:numPr>
          <w:ilvl w:val="0"/>
          <w:numId w:val="0"/>
        </w:numPr>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当场更正的，</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当场或在收到申请材料5日内一次性告知申请人需要补正的全部内容，出具加盖本行行政许可专用章并载明日期的补正告知书。逾期不告知的，自收到申请材料之日起即为受理。</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5.申请人拒不补正，或者自补正告知书送达之日起10日内无正当理由未补正的，视为放弃</w:t>
      </w:r>
      <w:r>
        <w:rPr>
          <w:rFonts w:hint="default" w:ascii="Times New Roman" w:hAnsi="Times New Roman" w:eastAsia="仿宋_GB2312" w:cs="Times New Roman"/>
          <w:sz w:val="32"/>
          <w:szCs w:val="32"/>
          <w:lang w:val="en-US"/>
        </w:rPr>
        <w:t>国库集中收付代理银行资格认定</w:t>
      </w:r>
      <w:r>
        <w:rPr>
          <w:rFonts w:hint="eastAsia" w:eastAsia="仿宋_GB2312" w:cs="Times New Roman"/>
          <w:sz w:val="32"/>
          <w:szCs w:val="32"/>
          <w:lang w:val="en-US" w:eastAsia="zh-CN"/>
        </w:rPr>
        <w:t>申请，</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退回已经收到的全部申请材料。</w:t>
      </w:r>
    </w:p>
    <w:p>
      <w:pPr>
        <w:widowControl w:val="0"/>
        <w:numPr>
          <w:ilvl w:val="0"/>
          <w:numId w:val="0"/>
        </w:numPr>
        <w:wordWrap/>
        <w:adjustRightInd/>
        <w:snapToGrid/>
        <w:spacing w:line="240" w:lineRule="auto"/>
        <w:ind w:left="0" w:leftChars="0" w:right="0" w:firstLine="640" w:firstLineChars="200"/>
        <w:textAlignment w:val="auto"/>
        <w:outlineLvl w:val="9"/>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6.申请人提出的国库集中收付代理银行资格认定申请存在下列情形之一的，</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可以不予受理，并出具加盖本行行政许可专用章的不予受理决定书，说明不予受理的理由和依据，退回已经收到的全部申请材料。</w:t>
      </w:r>
    </w:p>
    <w:p>
      <w:pPr>
        <w:widowControl w:val="0"/>
        <w:numPr>
          <w:ilvl w:val="0"/>
          <w:numId w:val="2"/>
        </w:numPr>
        <w:wordWrap/>
        <w:adjustRightInd/>
        <w:snapToGrid/>
        <w:spacing w:line="240" w:lineRule="auto"/>
        <w:ind w:leftChars="200" w:right="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申请事项不属于中国人民银行职权范围的；</w:t>
      </w:r>
    </w:p>
    <w:p>
      <w:pPr>
        <w:widowControl w:val="0"/>
        <w:numPr>
          <w:ilvl w:val="0"/>
          <w:numId w:val="2"/>
        </w:numPr>
        <w:wordWrap/>
        <w:adjustRightInd/>
        <w:snapToGrid/>
        <w:spacing w:line="240" w:lineRule="auto"/>
        <w:ind w:leftChars="200" w:right="0"/>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申请人提供的补正材料不齐全、不符合法定形式的；</w:t>
      </w:r>
    </w:p>
    <w:p>
      <w:pPr>
        <w:widowControl w:val="0"/>
        <w:numPr>
          <w:ilvl w:val="0"/>
          <w:numId w:val="2"/>
        </w:numPr>
        <w:wordWrap/>
        <w:adjustRightInd/>
        <w:snapToGrid/>
        <w:spacing w:line="240" w:lineRule="auto"/>
        <w:ind w:leftChars="200" w:right="0"/>
        <w:textAlignment w:val="auto"/>
        <w:outlineLvl w:val="9"/>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申请人补正后仍存在不符合受理条件的其他情形的。（二</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审查与</w:t>
      </w:r>
      <w:r>
        <w:rPr>
          <w:rFonts w:hint="default" w:ascii="Times New Roman" w:hAnsi="Times New Roman" w:eastAsia="仿宋_GB2312" w:cs="Times New Roman"/>
          <w:sz w:val="32"/>
          <w:szCs w:val="32"/>
          <w:lang w:val="en-US"/>
        </w:rPr>
        <w:t>决定</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按规定程序，组织对申请人提交的申请材料进行审查，作出准予许可或不予许可的决定。作出行政许可决定前，申请人撤回申请的，应当提交正式书面请求，并说明理由；同时，退回已收到的全部申请材料。</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证件（文书）制作与送达</w:t>
      </w:r>
    </w:p>
    <w:p>
      <w:pPr>
        <w:widowControl w:val="0"/>
        <w:wordWrap/>
        <w:adjustRightInd/>
        <w:snapToGrid/>
        <w:spacing w:line="240" w:lineRule="auto"/>
        <w:ind w:left="0" w:leftChars="0" w:right="0" w:firstLine="640" w:firstLineChars="0"/>
        <w:textAlignment w:val="auto"/>
        <w:outlineLvl w:val="9"/>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rPr>
        <w:t>1.中国人民银行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行按</w:t>
      </w:r>
      <w:r>
        <w:rPr>
          <w:rFonts w:hint="eastAsia" w:eastAsia="仿宋_GB2312" w:cs="Times New Roman"/>
          <w:color w:val="auto"/>
          <w:sz w:val="32"/>
          <w:szCs w:val="32"/>
          <w:lang w:val="en-US" w:eastAsia="zh-CN"/>
        </w:rPr>
        <w:t>行政</w:t>
      </w:r>
      <w:r>
        <w:rPr>
          <w:rFonts w:hint="default" w:ascii="Times New Roman" w:hAnsi="Times New Roman" w:eastAsia="仿宋_GB2312" w:cs="Times New Roman"/>
          <w:color w:val="auto"/>
          <w:sz w:val="32"/>
          <w:szCs w:val="32"/>
          <w:lang w:val="en-US"/>
        </w:rPr>
        <w:t>许可条件、标准及</w:t>
      </w:r>
      <w:r>
        <w:rPr>
          <w:rFonts w:hint="eastAsia"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val="en-US"/>
        </w:rPr>
        <w:t>结果在受理之日起</w:t>
      </w: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rPr>
        <w:t>日内作出不予或准予行政许可决定。</w:t>
      </w:r>
      <w:r>
        <w:rPr>
          <w:rFonts w:hint="eastAsia" w:eastAsia="仿宋_GB2312" w:cs="Times New Roman"/>
          <w:color w:val="auto"/>
          <w:sz w:val="32"/>
          <w:szCs w:val="32"/>
          <w:lang w:val="en-US" w:eastAsia="zh-CN"/>
        </w:rPr>
        <w:t>15日内不能作出决定的，经</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color w:val="auto"/>
          <w:sz w:val="32"/>
          <w:szCs w:val="32"/>
          <w:lang w:val="en-US" w:eastAsia="zh-CN"/>
        </w:rPr>
        <w:t>行长批准，可以延长10日，并将延长期限的理由告知申请人。拟</w:t>
      </w:r>
      <w:r>
        <w:rPr>
          <w:rFonts w:hint="default" w:ascii="Times New Roman" w:hAnsi="Times New Roman" w:eastAsia="仿宋_GB2312" w:cs="Times New Roman"/>
          <w:color w:val="auto"/>
          <w:sz w:val="32"/>
          <w:szCs w:val="32"/>
          <w:lang w:val="en-US"/>
        </w:rPr>
        <w:t>作出准予行政许可决定的，</w:t>
      </w:r>
      <w:r>
        <w:rPr>
          <w:rFonts w:hint="eastAsia" w:eastAsia="仿宋_GB2312" w:cs="Times New Roman"/>
          <w:color w:val="auto"/>
          <w:sz w:val="32"/>
          <w:szCs w:val="32"/>
          <w:lang w:val="en-US" w:eastAsia="zh-CN"/>
        </w:rPr>
        <w:t>按规定程序要求，及时制作准予许可决定书。</w:t>
      </w:r>
    </w:p>
    <w:p>
      <w:pPr>
        <w:widowControl w:val="0"/>
        <w:wordWrap/>
        <w:adjustRightInd/>
        <w:snapToGrid/>
        <w:spacing w:line="240" w:lineRule="auto"/>
        <w:ind w:left="0" w:leftChars="0" w:right="0" w:firstLine="640" w:firstLineChars="0"/>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rPr>
        <w:t>作出不予行政许可决定的，制作</w:t>
      </w:r>
      <w:r>
        <w:rPr>
          <w:rFonts w:hint="eastAsia" w:eastAsia="仿宋_GB2312" w:cs="Times New Roman"/>
          <w:color w:val="auto"/>
          <w:sz w:val="32"/>
          <w:szCs w:val="32"/>
          <w:lang w:val="en-US" w:eastAsia="zh-CN"/>
        </w:rPr>
        <w:t>不予行政许可意见告知书和</w:t>
      </w:r>
      <w:r>
        <w:rPr>
          <w:rFonts w:hint="default" w:ascii="Times New Roman" w:hAnsi="Times New Roman" w:eastAsia="仿宋_GB2312" w:cs="Times New Roman"/>
          <w:color w:val="auto"/>
          <w:sz w:val="32"/>
          <w:szCs w:val="32"/>
          <w:lang w:val="en-US"/>
        </w:rPr>
        <w:t>不予行政许可决定书，并于作出决定之日起10日内将不予行政许可决定书送达申请单位。</w:t>
      </w:r>
    </w:p>
    <w:p>
      <w:pPr>
        <w:widowControl w:val="0"/>
        <w:wordWrap/>
        <w:adjustRightInd/>
        <w:snapToGrid/>
        <w:spacing w:line="240" w:lineRule="auto"/>
        <w:ind w:left="0" w:leftChars="0" w:right="0"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结果公布</w:t>
      </w:r>
    </w:p>
    <w:p>
      <w:pPr>
        <w:widowControl w:val="0"/>
        <w:wordWrap/>
        <w:adjustRightInd/>
        <w:snapToGrid/>
        <w:spacing w:line="240" w:lineRule="auto"/>
        <w:ind w:left="0" w:leftChars="0" w:right="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在行政许可决定作出之日起7日内在中国人民银行政务服务平台（https://xzxk.pbc.gov.cn）</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default" w:ascii="Times New Roman" w:hAnsi="Times New Roman" w:eastAsia="仿宋_GB2312" w:cs="Times New Roman"/>
          <w:sz w:val="32"/>
          <w:szCs w:val="32"/>
          <w:lang w:val="en-US"/>
        </w:rPr>
        <w:t>互联网</w:t>
      </w:r>
      <w:r>
        <w:rPr>
          <w:rFonts w:hint="eastAsia" w:eastAsia="仿宋_GB2312" w:cs="Times New Roman"/>
          <w:sz w:val="32"/>
          <w:szCs w:val="32"/>
          <w:lang w:val="en-US" w:eastAsia="zh-CN"/>
        </w:rPr>
        <w:t>官网</w:t>
      </w:r>
      <w:r>
        <w:rPr>
          <w:rFonts w:hint="default" w:ascii="Times New Roman" w:hAnsi="Times New Roman" w:eastAsia="仿宋_GB2312" w:cs="Times New Roman"/>
          <w:color w:val="auto"/>
          <w:sz w:val="32"/>
          <w:szCs w:val="32"/>
          <w:lang w:val="en-US" w:eastAsia="zh-CN"/>
        </w:rPr>
        <w:t>（http://yinchuan.pbc.gov.cn）</w:t>
      </w:r>
      <w:r>
        <w:rPr>
          <w:rFonts w:hint="default" w:ascii="Times New Roman" w:hAnsi="Times New Roman" w:eastAsia="仿宋_GB2312" w:cs="Times New Roman"/>
          <w:sz w:val="32"/>
          <w:szCs w:val="32"/>
          <w:lang w:val="en-US" w:eastAsia="zh-CN"/>
        </w:rPr>
        <w:t>公示资格认定结果。</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签订协议</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开办国库集中收付业务前</w:t>
      </w:r>
      <w:r>
        <w:rPr>
          <w:rFonts w:hint="default" w:ascii="Times New Roman" w:hAnsi="Times New Roman" w:eastAsia="仿宋_GB2312" w:cs="Times New Roman"/>
          <w:color w:val="auto"/>
          <w:sz w:val="32"/>
          <w:szCs w:val="32"/>
          <w:lang w:val="en-US"/>
        </w:rPr>
        <w:t>，</w:t>
      </w:r>
      <w:r>
        <w:rPr>
          <w:rFonts w:hint="eastAsia" w:eastAsia="仿宋_GB2312" w:cs="Times New Roman"/>
          <w:color w:val="auto"/>
          <w:sz w:val="32"/>
          <w:szCs w:val="32"/>
          <w:lang w:val="en-US" w:eastAsia="zh-CN"/>
        </w:rPr>
        <w:t>被准予许可的申请人</w:t>
      </w:r>
      <w:r>
        <w:rPr>
          <w:rFonts w:hint="default" w:ascii="Times New Roman" w:hAnsi="Times New Roman" w:eastAsia="仿宋_GB2312" w:cs="Times New Roman"/>
          <w:color w:val="auto"/>
          <w:sz w:val="32"/>
          <w:szCs w:val="32"/>
          <w:lang w:val="en-US"/>
        </w:rPr>
        <w:t>与同级财政</w:t>
      </w:r>
      <w:r>
        <w:rPr>
          <w:rFonts w:hint="eastAsia" w:eastAsia="仿宋_GB2312" w:cs="Times New Roman"/>
          <w:color w:val="auto"/>
          <w:sz w:val="32"/>
          <w:szCs w:val="32"/>
          <w:lang w:val="en-US" w:eastAsia="zh-CN"/>
        </w:rPr>
        <w:t>部门和</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行签订《国库集中收付业务委托代理及清算管理协议书》</w:t>
      </w:r>
      <w:r>
        <w:rPr>
          <w:rFonts w:hint="eastAsia"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rPr>
        <w:t>按规定办理国库集中</w:t>
      </w:r>
      <w:r>
        <w:rPr>
          <w:rFonts w:hint="default" w:ascii="Times New Roman" w:hAnsi="Times New Roman" w:eastAsia="仿宋_GB2312" w:cs="Times New Roman"/>
          <w:sz w:val="32"/>
          <w:szCs w:val="32"/>
          <w:lang w:val="en-US"/>
        </w:rPr>
        <w:t>收付业务。</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办理方式</w:t>
      </w:r>
    </w:p>
    <w:p>
      <w:pPr>
        <w:widowControl w:val="0"/>
        <w:wordWrap/>
        <w:adjustRightInd/>
        <w:snapToGrid/>
        <w:spacing w:line="240" w:lineRule="auto"/>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国库集中收付代理银行资格认定行政审批事项采取一般程序，即包括申请、受理、审查与决定</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证件（文书）制作与送达</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结果公开等。</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rPr>
        <w:t>办</w:t>
      </w:r>
      <w:r>
        <w:rPr>
          <w:rFonts w:hint="eastAsia" w:ascii="黑体" w:hAnsi="黑体" w:eastAsia="黑体" w:cs="黑体"/>
          <w:b w:val="0"/>
          <w:bCs w:val="0"/>
          <w:sz w:val="32"/>
          <w:szCs w:val="32"/>
          <w:lang w:val="en-US" w:eastAsia="zh-CN"/>
        </w:rPr>
        <w:t>结时</w:t>
      </w:r>
      <w:r>
        <w:rPr>
          <w:rFonts w:hint="eastAsia" w:ascii="黑体" w:hAnsi="黑体" w:eastAsia="黑体" w:cs="黑体"/>
          <w:b w:val="0"/>
          <w:bCs w:val="0"/>
          <w:sz w:val="32"/>
          <w:szCs w:val="32"/>
          <w:lang w:val="en-US"/>
        </w:rPr>
        <w:t>限</w:t>
      </w:r>
    </w:p>
    <w:p>
      <w:pPr>
        <w:widowControl w:val="0"/>
        <w:wordWrap/>
        <w:adjustRightInd/>
        <w:snapToGrid/>
        <w:spacing w:line="240" w:lineRule="auto"/>
        <w:ind w:left="0" w:leftChars="0" w:right="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rPr>
        <w:t>自受理之日起</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rPr>
        <w:t>日内</w:t>
      </w:r>
      <w:r>
        <w:rPr>
          <w:rFonts w:hint="eastAsia" w:eastAsia="仿宋_GB2312" w:cs="Times New Roman"/>
          <w:sz w:val="32"/>
          <w:szCs w:val="32"/>
          <w:lang w:val="en-US" w:eastAsia="zh-CN"/>
        </w:rPr>
        <w:t>，作出行政许可决定。</w:t>
      </w:r>
      <w:r>
        <w:rPr>
          <w:rFonts w:hint="default" w:ascii="Times New Roman" w:hAnsi="Times New Roman" w:eastAsia="仿宋_GB2312" w:cs="Times New Roman"/>
          <w:sz w:val="32"/>
          <w:szCs w:val="32"/>
          <w:lang w:val="en-US"/>
        </w:rPr>
        <w:t>在规定期限内不能作出审批决定的，经本行行长批准，可延长10日，同时将延长期限理由告知申请单位。</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收费情况</w:t>
      </w:r>
    </w:p>
    <w:p>
      <w:pPr>
        <w:widowControl w:val="0"/>
        <w:wordWrap/>
        <w:adjustRightInd/>
        <w:snapToGrid/>
        <w:spacing w:line="240" w:lineRule="auto"/>
        <w:ind w:left="0" w:leftChars="0" w:right="0"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不收费</w:t>
      </w:r>
      <w:r>
        <w:rPr>
          <w:rFonts w:hint="eastAsia" w:eastAsia="仿宋_GB2312" w:cs="Times New Roman"/>
          <w:sz w:val="32"/>
          <w:szCs w:val="32"/>
          <w:lang w:val="en-US" w:eastAsia="zh-CN"/>
        </w:rPr>
        <w:t>。</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审批结果</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作出准予或不予行政许可决定。</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结果送达</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color w:val="auto"/>
          <w:sz w:val="32"/>
          <w:szCs w:val="32"/>
          <w:lang w:val="en-US" w:eastAsia="zh-CN"/>
        </w:rPr>
      </w:pPr>
      <w:r>
        <w:rPr>
          <w:rFonts w:hint="eastAsia" w:eastAsia="仿宋_GB2312" w:cs="Times New Roman"/>
          <w:sz w:val="32"/>
          <w:szCs w:val="32"/>
          <w:lang w:val="en-US" w:eastAsia="zh-CN"/>
        </w:rPr>
        <w:t>（一）对于受理、不予受理或者要求补正申请材料的通知书，除即时告知的外，</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应当自相关文书作出之日起5日内</w:t>
      </w:r>
      <w:r>
        <w:rPr>
          <w:rFonts w:hint="eastAsia" w:eastAsia="仿宋_GB2312" w:cs="Times New Roman"/>
          <w:color w:val="auto"/>
          <w:sz w:val="32"/>
          <w:szCs w:val="32"/>
          <w:lang w:val="en-US" w:eastAsia="zh-CN"/>
        </w:rPr>
        <w:t>送达当事人。</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color w:val="auto"/>
          <w:sz w:val="32"/>
          <w:szCs w:val="32"/>
          <w:lang w:val="en-US" w:eastAsia="zh-CN"/>
        </w:rPr>
        <w:t>作出准予或不予行政许可决定的，应当自作出决定之日起10日内向申请人送达</w:t>
      </w:r>
      <w:r>
        <w:rPr>
          <w:rFonts w:hint="eastAsia" w:eastAsia="仿宋_GB2312" w:cs="Times New Roman"/>
          <w:sz w:val="32"/>
          <w:szCs w:val="32"/>
          <w:lang w:val="en-US" w:eastAsia="zh-CN"/>
        </w:rPr>
        <w:t>准予或不予行政许可的书面决定。</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（三）申请人应当在申请时选择相关文书的送达方式，并如实告知通讯地址、联系方式等信息。</w:t>
      </w:r>
    </w:p>
    <w:p>
      <w:pPr>
        <w:widowControl w:val="0"/>
        <w:wordWrap/>
        <w:adjustRightInd/>
        <w:snapToGrid/>
        <w:spacing w:line="240" w:lineRule="auto"/>
        <w:ind w:left="0" w:leftChars="0" w:right="0" w:firstLine="640" w:firstLineChars="200"/>
        <w:textAlignment w:val="auto"/>
        <w:outlineLvl w:val="9"/>
        <w:rPr>
          <w:rFonts w:hint="eastAsia" w:eastAsia="仿宋_GB2312" w:cs="Times New Roman"/>
          <w:color w:val="auto"/>
          <w:sz w:val="32"/>
          <w:szCs w:val="32"/>
          <w:lang w:val="en-US" w:eastAsia="zh-CN"/>
        </w:rPr>
      </w:pPr>
      <w:r>
        <w:rPr>
          <w:rFonts w:hint="eastAsia" w:eastAsia="仿宋_GB2312" w:cs="Times New Roman"/>
          <w:sz w:val="32"/>
          <w:szCs w:val="32"/>
          <w:lang w:val="en-US" w:eastAsia="zh-CN"/>
        </w:rPr>
        <w:t>（四）申请人选择邮寄送达的，邮件签收，视为送达</w:t>
      </w:r>
      <w:r>
        <w:rPr>
          <w:rFonts w:hint="eastAsia" w:eastAsia="仿宋_GB2312" w:cs="Times New Roman"/>
          <w:color w:val="auto"/>
          <w:sz w:val="32"/>
          <w:szCs w:val="32"/>
          <w:lang w:val="en-US" w:eastAsia="zh-CN"/>
        </w:rPr>
        <w:t>；邮件因地址错误、拒收等原因被退回的，到达上述地址，视为送达。</w:t>
      </w:r>
    </w:p>
    <w:p>
      <w:pPr>
        <w:widowControl w:val="0"/>
        <w:numPr>
          <w:ilvl w:val="0"/>
          <w:numId w:val="1"/>
        </w:numPr>
        <w:tabs>
          <w:tab w:val="left" w:pos="582"/>
        </w:tabs>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行政相对人权利和义务</w:t>
      </w:r>
    </w:p>
    <w:p>
      <w:pPr>
        <w:widowControl w:val="0"/>
        <w:numPr>
          <w:ilvl w:val="0"/>
          <w:numId w:val="3"/>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依据《中华人民共和国行政许可法》《中国人民银行行政许可实施办法》等，行政相对人依法享有以下权利：</w:t>
      </w:r>
    </w:p>
    <w:p>
      <w:pPr>
        <w:widowControl w:val="0"/>
        <w:numPr>
          <w:ilvl w:val="0"/>
          <w:numId w:val="0"/>
        </w:numPr>
        <w:wordWrap/>
        <w:adjustRightInd/>
        <w:snapToGrid/>
        <w:spacing w:line="240" w:lineRule="auto"/>
        <w:ind w:left="0" w:leftChars="0" w:right="0" w:firstLine="0" w:firstLineChars="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1.公民、法人或者其他组织对行政机关实施行政许可，享有陈述权、申辩权；有权依法申请行政复议或者提起行政诉讼；其合法权益因行政机关违法实施行政许可受到损害的，有权依法要求赔偿。</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2.符合法定条件、标准的，行政相对人有依法取得行政许可的平等权利，</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不得歧视。</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3.行政相对人对</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实施的行政许可，享有陈述和申辩的权利；有权依法申请行政复议或者提起行政诉讼。</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4.行政相对人因</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违法实施行政许可受到损害的，有权依法要求赔偿。</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5.行政相对人可以委托代理人提出行政许可申请，但依法应当由行政相对人到</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办公场所提出行政许可申请的除外。</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6.行政相对人要求对公示内容予以说明、解释的，</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国库处应当说明、解释，并提供准确、可靠的信息。</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7.行政许可直接涉及行政相对人与他人之间重大利益关系的，</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在作出行政许可前，</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国库处应当告知行政相对人、利害关系人享有要求听证的权利；行政相对人、利害关系人在被告知听证权利之日起5日内提出听证申请的，</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应当在20日内组织听证。</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（二）依据《中华人民共和国行政许可法》《中国人民银行行政许可实施办法》等，行政相对人依法履行以下义务：</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被许可人不履行前款规定的义务的，行政机关应当责令限期改正，或者依法采取有效措施督促其履行义务。</w:t>
      </w:r>
    </w:p>
    <w:p>
      <w:pPr>
        <w:widowControl w:val="0"/>
        <w:numPr>
          <w:ilvl w:val="0"/>
          <w:numId w:val="0"/>
        </w:numPr>
        <w:tabs>
          <w:tab w:val="left" w:pos="582"/>
        </w:tabs>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2.行政相对人应对申请材料及委托代理协议的真实性、完整性负责。因提交材料不真实的，行政相对人应承担责任。</w:t>
      </w:r>
    </w:p>
    <w:p>
      <w:pPr>
        <w:widowControl w:val="0"/>
        <w:numPr>
          <w:ilvl w:val="0"/>
          <w:numId w:val="1"/>
        </w:numPr>
        <w:tabs>
          <w:tab w:val="left" w:pos="582"/>
        </w:tabs>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咨询途径及</w:t>
      </w:r>
      <w:r>
        <w:rPr>
          <w:rFonts w:hint="eastAsia" w:ascii="黑体" w:hAnsi="黑体" w:eastAsia="黑体" w:cs="黑体"/>
          <w:b w:val="0"/>
          <w:bCs w:val="0"/>
          <w:sz w:val="32"/>
          <w:szCs w:val="32"/>
          <w:lang w:val="en-US"/>
        </w:rPr>
        <w:t>监督</w:t>
      </w:r>
      <w:r>
        <w:rPr>
          <w:rFonts w:hint="eastAsia" w:ascii="黑体" w:hAnsi="黑体" w:eastAsia="黑体" w:cs="黑体"/>
          <w:b w:val="0"/>
          <w:bCs w:val="0"/>
          <w:sz w:val="32"/>
          <w:szCs w:val="32"/>
          <w:lang w:val="en-US" w:eastAsia="zh-CN"/>
        </w:rPr>
        <w:t>投诉</w:t>
      </w:r>
      <w:r>
        <w:rPr>
          <w:rFonts w:hint="eastAsia" w:ascii="黑体" w:hAnsi="黑体" w:eastAsia="黑体" w:cs="黑体"/>
          <w:b w:val="0"/>
          <w:bCs w:val="0"/>
          <w:sz w:val="32"/>
          <w:szCs w:val="32"/>
          <w:lang w:val="en-US"/>
        </w:rPr>
        <w:t>渠道</w:t>
      </w:r>
    </w:p>
    <w:p>
      <w:pPr>
        <w:widowControl w:val="0"/>
        <w:numPr>
          <w:ilvl w:val="0"/>
          <w:numId w:val="0"/>
        </w:numPr>
        <w:tabs>
          <w:tab w:val="left" w:pos="582"/>
        </w:tabs>
        <w:wordWrap/>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（一）窗口咨询：</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eastAsia="仿宋_GB2312" w:cs="Times New Roman"/>
          <w:sz w:val="32"/>
          <w:szCs w:val="32"/>
          <w:lang w:val="en-US" w:eastAsia="zh-CN"/>
        </w:rPr>
        <w:t>国库处。</w:t>
      </w:r>
    </w:p>
    <w:p>
      <w:pPr>
        <w:widowControl w:val="0"/>
        <w:numPr>
          <w:ilvl w:val="0"/>
          <w:numId w:val="0"/>
        </w:numPr>
        <w:tabs>
          <w:tab w:val="left" w:pos="582"/>
        </w:tabs>
        <w:wordWrap/>
        <w:adjustRightInd/>
        <w:snapToGrid/>
        <w:spacing w:line="240" w:lineRule="auto"/>
        <w:ind w:right="0" w:rightChars="0" w:firstLine="640" w:firstLineChars="200"/>
        <w:textAlignment w:val="auto"/>
        <w:outlineLvl w:val="9"/>
        <w:rPr>
          <w:rFonts w:hint="eastAsia" w:eastAsia="仿宋_GB2312" w:cs="Times New Roman"/>
          <w:color w:val="0000FF"/>
          <w:sz w:val="32"/>
          <w:szCs w:val="32"/>
          <w:lang w:val="en-US" w:eastAsia="zh-CN"/>
        </w:rPr>
      </w:pPr>
      <w:r>
        <w:rPr>
          <w:rFonts w:hint="eastAsia" w:eastAsia="仿宋_GB2312" w:cs="Times New Roman"/>
          <w:sz w:val="32"/>
          <w:szCs w:val="32"/>
          <w:lang w:val="en-US" w:eastAsia="zh-CN"/>
        </w:rPr>
        <w:t>（二）电话咨询：0951—5189475。</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（三）监督电话：</w:t>
      </w:r>
      <w:r>
        <w:rPr>
          <w:rFonts w:hint="default" w:ascii="Times New Roman" w:hAnsi="Times New Roman" w:eastAsia="仿宋_GB2312" w:cs="Times New Roman"/>
          <w:sz w:val="32"/>
          <w:szCs w:val="32"/>
          <w:lang w:val="en-US"/>
        </w:rPr>
        <w:t>0951—518958</w:t>
      </w:r>
      <w:r>
        <w:rPr>
          <w:rFonts w:hint="eastAsia" w:eastAsia="仿宋_GB2312" w:cs="Times New Roman"/>
          <w:sz w:val="32"/>
          <w:szCs w:val="32"/>
          <w:lang w:val="en-US" w:eastAsia="zh-CN"/>
        </w:rPr>
        <w:t>7。</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rPr>
        <w:t>办公时间</w:t>
      </w:r>
      <w:r>
        <w:rPr>
          <w:rFonts w:hint="eastAsia" w:ascii="黑体" w:hAnsi="黑体" w:eastAsia="黑体" w:cs="黑体"/>
          <w:b w:val="0"/>
          <w:bCs w:val="0"/>
          <w:sz w:val="32"/>
          <w:szCs w:val="32"/>
          <w:lang w:val="en-US" w:eastAsia="zh-CN"/>
        </w:rPr>
        <w:t>及乘车路线</w:t>
      </w:r>
    </w:p>
    <w:p>
      <w:pPr>
        <w:widowControl w:val="0"/>
        <w:wordWrap/>
        <w:adjustRightInd/>
        <w:snapToGrid/>
        <w:ind w:left="0" w:leftChars="0" w:righ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（一）办公时间：</w:t>
      </w:r>
      <w:r>
        <w:rPr>
          <w:rFonts w:hint="default" w:ascii="Times New Roman" w:hAnsi="Times New Roman" w:eastAsia="仿宋_GB2312" w:cs="Times New Roman"/>
          <w:color w:val="auto"/>
          <w:sz w:val="32"/>
          <w:szCs w:val="32"/>
          <w:lang w:val="en-US"/>
        </w:rPr>
        <w:t>周一至周五（法定节假日除外）</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080000" w:fill="FFFFFF"/>
          <w:lang w:eastAsia="zh-CN"/>
        </w:rPr>
      </w:pPr>
      <w:r>
        <w:rPr>
          <w:rFonts w:hint="eastAsia" w:ascii="Times New Roman" w:hAnsi="Times New Roman" w:eastAsia="仿宋_GB2312" w:cs="Times New Roman"/>
          <w:sz w:val="32"/>
          <w:szCs w:val="32"/>
          <w:lang w:val="en-US" w:eastAsia="zh-CN"/>
        </w:rPr>
        <w:t>上午：</w:t>
      </w:r>
      <w:r>
        <w:rPr>
          <w:rFonts w:hint="eastAsia" w:ascii="Times New Roman" w:hAnsi="Times New Roman" w:cs="Times New Roman"/>
          <w:sz w:val="32"/>
          <w:szCs w:val="32"/>
          <w:lang w:val="en-US" w:eastAsia="zh-CN"/>
        </w:rPr>
        <w:t>9:00</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12:00</w:t>
      </w:r>
      <w:r>
        <w:rPr>
          <w:rFonts w:hint="eastAsia" w:ascii="Times New Roman" w:hAnsi="Times New Roman" w:eastAsia="仿宋_GB2312" w:cs="Times New Roman"/>
          <w:sz w:val="32"/>
          <w:szCs w:val="32"/>
          <w:lang w:val="en-US" w:eastAsia="zh-CN"/>
        </w:rPr>
        <w:t>；</w:t>
      </w:r>
      <w:bookmarkStart w:id="1" w:name="_GoBack"/>
      <w:bookmarkEnd w:id="1"/>
      <w:r>
        <w:rPr>
          <w:rFonts w:hint="default" w:ascii="Times New Roman" w:hAnsi="Times New Roman" w:eastAsia="仿宋_GB2312" w:cs="Times New Roman"/>
          <w:sz w:val="32"/>
          <w:szCs w:val="32"/>
          <w:lang w:val="en-US" w:eastAsia="zh-CN"/>
        </w:rPr>
        <w:t>下午：1</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0—17:</w:t>
      </w:r>
      <w:r>
        <w:rPr>
          <w:rFonts w:hint="eastAsia" w:ascii="Times New Roman" w:hAnsi="Times New Roman" w:cs="Times New Roman"/>
          <w:sz w:val="32"/>
          <w:szCs w:val="32"/>
          <w:lang w:val="en-US" w:eastAsia="zh-CN"/>
        </w:rPr>
        <w:t>0</w:t>
      </w:r>
      <w:r>
        <w:rPr>
          <w:rFonts w:hint="default"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w:t>
      </w:r>
    </w:p>
    <w:p>
      <w:pPr>
        <w:widowControl w:val="0"/>
        <w:wordWrap/>
        <w:adjustRightInd/>
        <w:snapToGrid/>
        <w:ind w:left="0" w:leftChars="0" w:right="0" w:firstLine="640" w:firstLineChars="200"/>
        <w:jc w:val="both"/>
        <w:textAlignment w:val="auto"/>
        <w:rPr>
          <w:rFonts w:hint="default" w:ascii="Times New Roman" w:hAnsi="Times New Roman" w:eastAsia="仿宋_GB2312" w:cs="Times New Roman"/>
          <w:sz w:val="32"/>
          <w:szCs w:val="32"/>
          <w:lang w:val="en-US"/>
        </w:rPr>
      </w:pPr>
      <w:r>
        <w:rPr>
          <w:rFonts w:hint="eastAsia" w:eastAsia="仿宋_GB2312" w:cs="Times New Roman"/>
          <w:color w:val="auto"/>
          <w:sz w:val="32"/>
          <w:szCs w:val="32"/>
          <w:shd w:val="clear" w:color="080000" w:fill="FFFFFF"/>
          <w:lang w:eastAsia="zh-CN"/>
        </w:rPr>
        <w:t>（二）乘车路线：</w:t>
      </w:r>
      <w:r>
        <w:rPr>
          <w:rFonts w:hint="default" w:ascii="Times New Roman" w:hAnsi="Times New Roman" w:eastAsia="仿宋_GB2312" w:cs="Times New Roman"/>
          <w:sz w:val="32"/>
          <w:szCs w:val="32"/>
          <w:lang w:val="en-US"/>
        </w:rPr>
        <w:t>乘</w:t>
      </w:r>
      <w:r>
        <w:rPr>
          <w:rFonts w:hint="eastAsia" w:eastAsia="仿宋_GB2312" w:cs="Times New Roman"/>
          <w:sz w:val="32"/>
          <w:szCs w:val="32"/>
          <w:lang w:val="en-US" w:eastAsia="zh-CN"/>
        </w:rPr>
        <w:t>52路至银川市金凤区中海西路口站。</w:t>
      </w:r>
    </w:p>
    <w:p>
      <w:pPr>
        <w:widowControl w:val="0"/>
        <w:numPr>
          <w:ilvl w:val="0"/>
          <w:numId w:val="1"/>
        </w:numPr>
        <w:wordWrap/>
        <w:adjustRightInd/>
        <w:snapToGrid/>
        <w:spacing w:line="240" w:lineRule="auto"/>
        <w:ind w:left="-10" w:leftChars="0" w:right="0" w:firstLine="640" w:firstLine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办理进程和结果公开查询</w:t>
      </w:r>
    </w:p>
    <w:p>
      <w:pPr>
        <w:widowControl w:val="0"/>
        <w:numPr>
          <w:ilvl w:val="0"/>
          <w:numId w:val="0"/>
        </w:numPr>
        <w:wordWrap/>
        <w:adjustRightInd/>
        <w:snapToGrid/>
        <w:spacing w:line="240" w:lineRule="auto"/>
        <w:ind w:left="0" w:leftChars="0" w:right="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申请人可通过电话或</w:t>
      </w:r>
      <w:r>
        <w:rPr>
          <w:rFonts w:hint="default" w:ascii="Times New Roman" w:hAnsi="Times New Roman" w:eastAsia="仿宋_GB2312" w:cs="Times New Roman"/>
          <w:sz w:val="32"/>
          <w:szCs w:val="32"/>
          <w:lang w:val="en-US" w:eastAsia="zh-CN"/>
        </w:rPr>
        <w:t>中国人民银行政务服务平台（https://xzxk.pbc.gov.cn）</w:t>
      </w:r>
      <w:r>
        <w:rPr>
          <w:rFonts w:hint="eastAsia" w:eastAsia="仿宋_GB2312" w:cs="Times New Roman"/>
          <w:sz w:val="32"/>
          <w:szCs w:val="32"/>
          <w:lang w:val="en-US" w:eastAsia="zh-CN"/>
        </w:rPr>
        <w:t>或</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default" w:ascii="Times New Roman" w:hAnsi="Times New Roman" w:eastAsia="仿宋_GB2312" w:cs="Times New Roman"/>
          <w:sz w:val="32"/>
          <w:szCs w:val="32"/>
          <w:lang w:val="en-US"/>
        </w:rPr>
        <w:t>互联网</w:t>
      </w:r>
      <w:r>
        <w:rPr>
          <w:rFonts w:hint="eastAsia" w:eastAsia="仿宋_GB2312" w:cs="Times New Roman"/>
          <w:sz w:val="32"/>
          <w:szCs w:val="32"/>
          <w:lang w:val="en-US" w:eastAsia="zh-CN"/>
        </w:rPr>
        <w:t>官网</w:t>
      </w:r>
      <w:r>
        <w:rPr>
          <w:rFonts w:hint="default" w:ascii="Times New Roman" w:hAnsi="Times New Roman" w:eastAsia="仿宋_GB2312" w:cs="Times New Roman"/>
          <w:color w:val="auto"/>
          <w:sz w:val="32"/>
          <w:szCs w:val="32"/>
          <w:lang w:val="en-US" w:eastAsia="zh-CN"/>
        </w:rPr>
        <w:t>（http://yinchuan.pbc.gov.cn）</w:t>
      </w:r>
      <w:r>
        <w:rPr>
          <w:rFonts w:hint="eastAsia" w:eastAsia="仿宋_GB2312" w:cs="Times New Roman"/>
          <w:sz w:val="32"/>
          <w:szCs w:val="32"/>
          <w:lang w:val="en-US" w:eastAsia="zh-CN"/>
        </w:rPr>
        <w:t>查询审批结果。</w:t>
      </w:r>
    </w:p>
    <w:p>
      <w:pPr>
        <w:widowControl w:val="0"/>
        <w:numPr>
          <w:ilvl w:val="0"/>
          <w:numId w:val="1"/>
        </w:numPr>
        <w:wordWrap/>
        <w:adjustRightInd/>
        <w:snapToGrid/>
        <w:spacing w:line="240" w:lineRule="auto"/>
        <w:ind w:left="-10" w:leftChars="0" w:right="0" w:firstLine="64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其他事项</w:t>
      </w:r>
    </w:p>
    <w:p>
      <w:pPr>
        <w:widowControl w:val="0"/>
        <w:numPr>
          <w:ilvl w:val="0"/>
          <w:numId w:val="0"/>
        </w:numPr>
        <w:wordWrap/>
        <w:adjustRightInd/>
        <w:snapToGrid/>
        <w:spacing w:line="240" w:lineRule="auto"/>
        <w:ind w:left="0" w:leftChars="0" w:right="0" w:firstLine="640" w:firstLineChars="200"/>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本文中时间期限以“日”为单位的，均以工作日计算，不含法定节假日。</w:t>
      </w:r>
    </w:p>
    <w:p>
      <w:pPr>
        <w:ind w:firstLine="600" w:firstLineChars="200"/>
        <w:rPr>
          <w:rFonts w:hint="eastAsia" w:eastAsia="仿宋_GB2312" w:cs="Times New Roman"/>
          <w:b w:val="0"/>
          <w:bCs w:val="0"/>
          <w:sz w:val="30"/>
          <w:szCs w:val="30"/>
          <w:lang w:val="en-US" w:eastAsia="zh-CN"/>
        </w:rPr>
      </w:pPr>
    </w:p>
    <w:p>
      <w:pPr>
        <w:ind w:firstLine="600" w:firstLineChars="200"/>
        <w:rPr>
          <w:rFonts w:hint="eastAsia" w:eastAsia="仿宋_GB2312" w:cs="Times New Roman"/>
          <w:b w:val="0"/>
          <w:bCs w:val="0"/>
          <w:sz w:val="30"/>
          <w:szCs w:val="30"/>
          <w:lang w:val="en-US" w:eastAsia="zh-CN"/>
        </w:rPr>
      </w:pPr>
    </w:p>
    <w:p>
      <w:pPr>
        <w:ind w:firstLine="600" w:firstLineChars="200"/>
        <w:rPr>
          <w:rFonts w:hint="eastAsia" w:eastAsia="仿宋_GB2312" w:cs="Times New Roman"/>
          <w:b w:val="0"/>
          <w:bCs w:val="0"/>
          <w:sz w:val="30"/>
          <w:szCs w:val="30"/>
          <w:lang w:val="en-US" w:eastAsia="zh-CN"/>
        </w:rPr>
      </w:pPr>
    </w:p>
    <w:p>
      <w:pPr>
        <w:ind w:firstLine="600" w:firstLineChars="200"/>
        <w:rPr>
          <w:rFonts w:hint="eastAsia" w:eastAsia="仿宋_GB2312" w:cs="Times New Roman"/>
          <w:b w:val="0"/>
          <w:bCs w:val="0"/>
          <w:sz w:val="30"/>
          <w:szCs w:val="30"/>
          <w:lang w:val="en-US" w:eastAsia="zh-CN"/>
        </w:rPr>
      </w:pPr>
    </w:p>
    <w:p>
      <w:pPr>
        <w:ind w:firstLine="600" w:firstLineChars="200"/>
        <w:rPr>
          <w:rFonts w:hint="eastAsia" w:eastAsia="仿宋_GB2312" w:cs="Times New Roman"/>
          <w:b w:val="0"/>
          <w:bCs w:val="0"/>
          <w:sz w:val="30"/>
          <w:szCs w:val="30"/>
          <w:lang w:val="en-US" w:eastAsia="zh-CN"/>
        </w:rPr>
      </w:pPr>
    </w:p>
    <w:p>
      <w:pPr>
        <w:ind w:firstLine="600" w:firstLineChars="200"/>
        <w:rPr>
          <w:rFonts w:hint="eastAsia" w:eastAsia="仿宋_GB2312" w:cs="Times New Roman"/>
          <w:b w:val="0"/>
          <w:bCs w:val="0"/>
          <w:sz w:val="30"/>
          <w:szCs w:val="30"/>
          <w:lang w:val="en-US" w:eastAsia="zh-CN"/>
        </w:rPr>
      </w:pPr>
      <w:r>
        <w:rPr>
          <w:rFonts w:hint="eastAsia" w:eastAsia="仿宋_GB2312" w:cs="Times New Roman"/>
          <w:b w:val="0"/>
          <w:bCs w:val="0"/>
          <w:sz w:val="30"/>
          <w:szCs w:val="30"/>
          <w:lang w:val="en-US" w:eastAsia="zh-CN"/>
        </w:rPr>
        <w:t>附件：1.地方国库集中收付代理银行资格认定办理流程</w:t>
      </w:r>
    </w:p>
    <w:p>
      <w:pPr>
        <w:ind w:firstLine="600" w:firstLineChars="200"/>
        <w:rPr>
          <w:rFonts w:hint="eastAsia" w:eastAsia="仿宋_GB2312" w:cs="Times New Roman"/>
          <w:b w:val="0"/>
          <w:bCs w:val="0"/>
          <w:sz w:val="30"/>
          <w:szCs w:val="30"/>
          <w:lang w:val="en-US" w:eastAsia="zh-CN"/>
        </w:rPr>
      </w:pPr>
      <w:r>
        <w:rPr>
          <w:rFonts w:hint="eastAsia" w:eastAsia="仿宋_GB2312" w:cs="Times New Roman"/>
          <w:b w:val="0"/>
          <w:bCs w:val="0"/>
          <w:sz w:val="30"/>
          <w:szCs w:val="30"/>
          <w:lang w:val="en-US" w:eastAsia="zh-CN"/>
        </w:rPr>
        <w:t xml:space="preserve">      2.宁夏地方国库集中收付代理银行资格认定申请书及其示范文本</w:t>
      </w:r>
    </w:p>
    <w:p>
      <w:pPr>
        <w:ind w:firstLine="600" w:firstLineChars="200"/>
        <w:rPr>
          <w:rFonts w:hint="eastAsia" w:eastAsia="仿宋_GB2312" w:cs="Times New Roman"/>
          <w:b w:val="0"/>
          <w:bCs w:val="0"/>
          <w:sz w:val="30"/>
          <w:szCs w:val="30"/>
          <w:lang w:val="en-US" w:eastAsia="zh-CN"/>
        </w:rPr>
      </w:pPr>
      <w:r>
        <w:rPr>
          <w:rFonts w:hint="eastAsia" w:eastAsia="仿宋_GB2312" w:cs="Times New Roman"/>
          <w:b w:val="0"/>
          <w:bCs w:val="0"/>
          <w:sz w:val="30"/>
          <w:szCs w:val="30"/>
          <w:lang w:val="en-US" w:eastAsia="zh-CN"/>
        </w:rPr>
        <w:t xml:space="preserve">      3.告知书</w:t>
      </w:r>
    </w:p>
    <w:p>
      <w:pPr>
        <w:ind w:firstLine="600" w:firstLineChars="200"/>
        <w:rPr>
          <w:rFonts w:hint="eastAsia" w:eastAsia="仿宋_GB2312" w:cs="Times New Roman"/>
          <w:b w:val="0"/>
          <w:bCs w:val="0"/>
          <w:sz w:val="30"/>
          <w:szCs w:val="30"/>
          <w:lang w:val="en-US" w:eastAsia="zh-CN"/>
        </w:rPr>
      </w:pPr>
      <w:r>
        <w:rPr>
          <w:rFonts w:hint="eastAsia" w:eastAsia="仿宋_GB2312" w:cs="Times New Roman"/>
          <w:b w:val="0"/>
          <w:bCs w:val="0"/>
          <w:sz w:val="30"/>
          <w:szCs w:val="30"/>
          <w:lang w:val="en-US" w:eastAsia="zh-CN"/>
        </w:rPr>
        <w:t xml:space="preserve">      4.承诺书</w:t>
      </w:r>
    </w:p>
    <w:p>
      <w:pPr>
        <w:ind w:firstLine="600" w:firstLineChars="200"/>
        <w:rPr>
          <w:rFonts w:hint="default" w:eastAsia="仿宋_GB2312" w:cs="Times New Roman"/>
          <w:b w:val="0"/>
          <w:bCs w:val="0"/>
          <w:sz w:val="30"/>
          <w:szCs w:val="30"/>
          <w:lang w:val="en-US" w:eastAsia="zh-CN"/>
        </w:rPr>
      </w:pPr>
      <w:r>
        <w:rPr>
          <w:rFonts w:hint="eastAsia" w:eastAsia="仿宋_GB2312" w:cs="Times New Roman"/>
          <w:b w:val="0"/>
          <w:bCs w:val="0"/>
          <w:sz w:val="30"/>
          <w:szCs w:val="30"/>
          <w:lang w:val="en-US" w:eastAsia="zh-CN"/>
        </w:rPr>
        <w:t xml:space="preserve">      5.常见错误示例</w:t>
      </w:r>
    </w:p>
    <w:p>
      <w:pPr>
        <w:ind w:firstLine="600" w:firstLineChars="200"/>
        <w:rPr>
          <w:rFonts w:hint="default" w:ascii="Times New Roman" w:hAnsi="Times New Roman" w:eastAsia="仿宋_GB2312" w:cs="Times New Roman"/>
          <w:b w:val="0"/>
          <w:bCs w:val="0"/>
          <w:sz w:val="30"/>
          <w:szCs w:val="30"/>
          <w:lang w:val="en-US" w:eastAsia="zh-CN"/>
        </w:rPr>
      </w:pPr>
    </w:p>
    <w:p>
      <w:pPr>
        <w:rPr>
          <w:rFonts w:hint="default" w:eastAsia="黑体" w:cs="Times New Roman"/>
          <w:b/>
          <w:bCs/>
          <w:kern w:val="0"/>
          <w:sz w:val="24"/>
          <w:lang w:val="en-US" w:eastAsia="zh-CN"/>
        </w:rPr>
      </w:pPr>
      <w:r>
        <w:rPr>
          <w:rFonts w:hint="default" w:ascii="Times New Roman" w:hAnsi="Times New Roman" w:eastAsia="仿宋_GB2312" w:cs="Times New Roman"/>
          <w:b w:val="0"/>
          <w:bCs w:val="0"/>
          <w:sz w:val="30"/>
          <w:szCs w:val="30"/>
          <w:lang w:val="en-US" w:eastAsia="zh-CN"/>
        </w:rPr>
        <w:br w:type="page"/>
      </w:r>
      <w:r>
        <w:rPr>
          <w:rFonts w:hint="eastAsia" w:ascii="黑体" w:hAnsi="黑体" w:eastAsia="黑体" w:cs="黑体"/>
          <w:b w:val="0"/>
          <w:bCs w:val="0"/>
          <w:kern w:val="0"/>
          <w:sz w:val="32"/>
          <w:szCs w:val="32"/>
          <w:lang w:val="en-US" w:eastAsia="zh-CN"/>
        </w:rPr>
        <w:t>附件1</w:t>
      </w:r>
    </w:p>
    <w:p>
      <w:pPr>
        <w:ind w:firstLine="0" w:firstLineChars="0"/>
        <w:jc w:val="center"/>
        <w:rPr>
          <w:rFonts w:hint="eastAsia" w:ascii="方正小标宋简体" w:hAnsi="方正小标宋简体" w:eastAsia="方正小标宋简体" w:cs="方正小标宋简体"/>
          <w:b w:val="0"/>
          <w:bCs w:val="0"/>
          <w:kern w:val="0"/>
          <w:sz w:val="36"/>
          <w:szCs w:val="36"/>
          <w:lang w:val="en-US" w:eastAsia="zh-CN"/>
        </w:rPr>
      </w:pPr>
      <w:r>
        <w:rPr>
          <w:rFonts w:hint="eastAsia" w:ascii="方正小标宋简体" w:hAnsi="方正小标宋简体" w:eastAsia="方正小标宋简体" w:cs="方正小标宋简体"/>
          <w:b w:val="0"/>
          <w:bCs w:val="0"/>
          <w:kern w:val="0"/>
          <w:sz w:val="36"/>
          <w:szCs w:val="36"/>
          <w:lang w:val="en-US" w:eastAsia="zh-CN"/>
        </w:rPr>
        <w:t>地方国库集中收付代理银行资格认定办理流程</w:t>
      </w:r>
    </w:p>
    <w:p>
      <w:pPr>
        <w:ind w:firstLine="0" w:firstLineChars="0"/>
        <w:jc w:val="center"/>
        <w:rPr>
          <w:rFonts w:hint="default" w:ascii="Times New Roman" w:hAnsi="Times New Roman" w:eastAsia="黑体" w:cs="Times New Roman"/>
          <w:b/>
          <w:bCs/>
          <w:kern w:val="0"/>
          <w:sz w:val="24"/>
          <w:lang w:val="en-US" w:eastAsia="zh-CN"/>
        </w:rPr>
      </w:pPr>
    </w:p>
    <w:p>
      <w:pPr>
        <w:ind w:firstLine="0" w:firstLineChars="0"/>
        <w:jc w:val="left"/>
        <w:rPr>
          <w:rFonts w:hint="default" w:ascii="Times New Roman" w:hAnsi="Times New Roman" w:eastAsia="黑体" w:cs="Times New Roman"/>
          <w:b/>
          <w:bCs/>
          <w:kern w:val="0"/>
          <w:sz w:val="24"/>
          <w:lang w:val="en-US" w:eastAsia="zh-CN" w:bidi="ar-SA"/>
        </w:rPr>
      </w:pPr>
      <w:r>
        <w:rPr>
          <w:rFonts w:hint="default" w:ascii="Times New Roman" w:hAnsi="Times New Roman" w:eastAsia="黑体" w:cs="Times New Roman"/>
          <w:b/>
          <w:bCs/>
          <w:kern w:val="0"/>
          <w:sz w:val="24"/>
          <w:lang w:val="en-US" w:eastAsia="zh-CN" w:bidi="ar-SA"/>
        </w:rPr>
        <w:object>
          <v:shape id="_x0000_i1025" o:spt="75" type="#_x0000_t75" style="height:556.45pt;width:415.3pt;" o:ole="t" filled="f" o:preferrelative="t" stroked="f" coordsize="21600,21600">
            <v:path/>
            <v:fill on="f" focussize="0,0"/>
            <v:stroke on="f"/>
            <v:imagedata r:id="rId7" blacklevel="0f" o:title=""/>
            <o:lock v:ext="edit" aspectratio="f"/>
            <w10:wrap type="none"/>
            <w10:anchorlock/>
          </v:shape>
          <o:OLEObject Type="Embed" ProgID="Visio.Drawing.11" ShapeID="_x0000_i1025" DrawAspect="Content" ObjectID="_1468075725" r:id="rId6">
            <o:LockedField>false</o:LockedField>
          </o:OLEObject>
        </w:object>
      </w:r>
    </w:p>
    <w:p>
      <w:pPr>
        <w:ind w:firstLine="0" w:firstLineChars="0"/>
        <w:jc w:val="both"/>
        <w:rPr>
          <w:rFonts w:hint="default" w:ascii="Times New Roman" w:hAnsi="Times New Roman" w:eastAsia="黑体" w:cs="Times New Roman"/>
          <w:b/>
          <w:bCs/>
          <w:kern w:val="0"/>
          <w:sz w:val="24"/>
          <w:lang w:val="en-US" w:eastAsia="zh-CN" w:bidi="ar-SA"/>
        </w:rPr>
      </w:pPr>
    </w:p>
    <w:p>
      <w:pPr>
        <w:ind w:firstLine="0" w:firstLineChars="0"/>
        <w:jc w:val="both"/>
        <w:rPr>
          <w:rFonts w:hint="default" w:ascii="Times New Roman" w:hAnsi="Times New Roman" w:eastAsia="黑体" w:cs="Times New Roman"/>
          <w:b/>
          <w:bCs/>
          <w:kern w:val="0"/>
          <w:sz w:val="24"/>
          <w:lang w:val="en-US" w:eastAsia="zh-CN" w:bidi="ar-SA"/>
        </w:rPr>
      </w:pPr>
    </w:p>
    <w:p>
      <w:pPr>
        <w:ind w:firstLine="0" w:firstLineChars="0"/>
        <w:jc w:val="both"/>
        <w:rPr>
          <w:rFonts w:hint="default" w:ascii="Times New Roman" w:hAnsi="Times New Roman" w:eastAsia="黑体" w:cs="Times New Roman"/>
          <w:b/>
          <w:bCs/>
          <w:kern w:val="0"/>
          <w:sz w:val="24"/>
          <w:lang w:val="en-US" w:eastAsia="zh-CN" w:bidi="ar-SA"/>
        </w:rPr>
      </w:pPr>
    </w:p>
    <w:p>
      <w:pPr>
        <w:ind w:firstLine="0" w:firstLineChars="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附件2</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宁夏地方国库集中收付代理银行资格认定</w:t>
      </w: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申　</w:t>
      </w: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请　</w:t>
      </w: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书</w:t>
      </w:r>
    </w:p>
    <w:p>
      <w:pPr>
        <w:jc w:val="center"/>
        <w:rPr>
          <w:rFonts w:hint="eastAsia" w:eastAsia="黑体"/>
          <w:sz w:val="36"/>
        </w:rPr>
      </w:pPr>
    </w:p>
    <w:p>
      <w:pPr>
        <w:rPr>
          <w:rFonts w:hint="eastAsia"/>
        </w:rPr>
      </w:pPr>
    </w:p>
    <w:p>
      <w:pPr>
        <w:rPr>
          <w:rFonts w:hint="eastAsia"/>
        </w:rPr>
      </w:pPr>
    </w:p>
    <w:p>
      <w:pPr>
        <w:rPr>
          <w:rFonts w:hint="eastAsia"/>
        </w:rPr>
      </w:pPr>
    </w:p>
    <w:p>
      <w:pPr>
        <w:rPr>
          <w:rFonts w:hint="eastAsia" w:ascii="仿宋_GB2312" w:eastAsia="仿宋_GB2312"/>
          <w:sz w:val="32"/>
          <w:szCs w:val="32"/>
        </w:rPr>
      </w:pPr>
      <w:r>
        <w:rPr>
          <w:rFonts w:hint="eastAsia" w:ascii="仿宋_GB2312" w:eastAsia="仿宋_GB2312"/>
          <w:sz w:val="32"/>
          <w:szCs w:val="32"/>
        </w:rPr>
        <w:t>申请机构名称：</w:t>
      </w:r>
    </w:p>
    <w:p>
      <w:pPr>
        <w:rPr>
          <w:rFonts w:hint="eastAsia" w:ascii="仿宋_GB2312" w:eastAsia="仿宋_GB2312"/>
          <w:sz w:val="32"/>
          <w:szCs w:val="32"/>
        </w:rPr>
      </w:pPr>
      <w:r>
        <w:rPr>
          <w:rFonts w:hint="eastAsia" w:ascii="仿宋_GB2312" w:eastAsia="仿宋_GB2312"/>
          <w:sz w:val="32"/>
          <w:szCs w:val="32"/>
        </w:rPr>
        <w:t>地址：</w:t>
      </w:r>
    </w:p>
    <w:p>
      <w:pPr>
        <w:rPr>
          <w:rFonts w:hint="eastAsia" w:ascii="仿宋_GB2312" w:eastAsia="仿宋_GB2312"/>
          <w:sz w:val="32"/>
          <w:szCs w:val="32"/>
        </w:rPr>
      </w:pPr>
      <w:r>
        <w:rPr>
          <w:rFonts w:hint="eastAsia" w:ascii="仿宋_GB2312" w:eastAsia="仿宋_GB2312"/>
          <w:sz w:val="32"/>
          <w:szCs w:val="32"/>
        </w:rPr>
        <w:t>申请机构负责人：</w:t>
      </w:r>
    </w:p>
    <w:p>
      <w:pPr>
        <w:rPr>
          <w:rFonts w:hint="eastAsia" w:ascii="仿宋_GB2312" w:eastAsia="仿宋_GB2312"/>
          <w:sz w:val="32"/>
          <w:szCs w:val="32"/>
        </w:rPr>
      </w:pPr>
      <w:r>
        <w:rPr>
          <w:rFonts w:hint="eastAsia" w:ascii="仿宋_GB2312" w:eastAsia="仿宋_GB2312"/>
          <w:sz w:val="32"/>
          <w:szCs w:val="32"/>
        </w:rPr>
        <w:t>申请日期：</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rPr>
          <w:rFonts w:hint="eastAsia" w:ascii="仿宋_GB2312" w:eastAsia="仿宋_GB2312"/>
          <w:sz w:val="32"/>
          <w:szCs w:val="32"/>
        </w:rPr>
      </w:pPr>
      <w:r>
        <w:rPr>
          <w:rFonts w:hint="eastAsia" w:ascii="仿宋_GB2312" w:eastAsia="仿宋_GB2312"/>
          <w:sz w:val="32"/>
          <w:szCs w:val="32"/>
        </w:rPr>
        <w:t>受理单位名称：</w:t>
      </w:r>
    </w:p>
    <w:p>
      <w:pPr>
        <w:rPr>
          <w:rFonts w:hint="eastAsia" w:ascii="仿宋_GB2312" w:eastAsia="仿宋_GB2312"/>
          <w:sz w:val="32"/>
          <w:szCs w:val="32"/>
        </w:rPr>
      </w:pPr>
      <w:r>
        <w:rPr>
          <w:rFonts w:hint="eastAsia" w:ascii="仿宋_GB2312" w:eastAsia="仿宋_GB2312"/>
          <w:sz w:val="32"/>
          <w:szCs w:val="32"/>
        </w:rPr>
        <w:t>受理日期：</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rPr>
          <w:rFonts w:hint="eastAsia" w:ascii="仿宋_GB2312" w:eastAsia="仿宋_GB2312"/>
          <w:sz w:val="32"/>
          <w:szCs w:val="32"/>
        </w:rPr>
      </w:pPr>
    </w:p>
    <w:p>
      <w:pPr>
        <w:rPr>
          <w:rFonts w:hint="eastAsia" w:ascii="仿宋_GB2312" w:eastAsia="仿宋_GB2312"/>
          <w:sz w:val="32"/>
          <w:szCs w:val="32"/>
        </w:rPr>
      </w:pPr>
    </w:p>
    <w:p>
      <w:pPr>
        <w:jc w:val="center"/>
        <w:rPr>
          <w:rFonts w:hint="eastAsia" w:ascii="仿宋_GB2312" w:eastAsia="仿宋_GB2312"/>
          <w:b/>
          <w:sz w:val="32"/>
          <w:szCs w:val="32"/>
        </w:rPr>
      </w:pPr>
      <w:r>
        <w:rPr>
          <w:rFonts w:hint="eastAsia" w:ascii="仿宋_GB2312" w:eastAsia="仿宋_GB2312"/>
          <w:b/>
          <w:sz w:val="32"/>
          <w:szCs w:val="32"/>
          <w:lang w:eastAsia="zh-CN"/>
        </w:rPr>
        <w:t>申请人</w:t>
      </w:r>
      <w:r>
        <w:rPr>
          <w:rFonts w:hint="eastAsia" w:ascii="仿宋_GB2312" w:eastAsia="仿宋_GB2312"/>
          <w:b/>
          <w:sz w:val="32"/>
          <w:szCs w:val="32"/>
        </w:rPr>
        <w:t>基本情况表</w:t>
      </w:r>
    </w:p>
    <w:p>
      <w:pPr>
        <w:jc w:val="center"/>
        <w:rPr>
          <w:rFonts w:hint="eastAsia" w:ascii="仿宋_GB2312" w:eastAsia="仿宋_GB2312"/>
          <w:sz w:val="28"/>
          <w:szCs w:val="28"/>
        </w:rPr>
      </w:pPr>
      <w:r>
        <w:rPr>
          <w:rFonts w:hint="eastAsia" w:ascii="仿宋_GB2312" w:eastAsia="仿宋_GB2312"/>
          <w:sz w:val="28"/>
          <w:szCs w:val="28"/>
        </w:rPr>
        <w:t>填表日期：</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0"/>
        <w:gridCol w:w="1440"/>
        <w:gridCol w:w="143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jc w:val="center"/>
              <w:rPr>
                <w:rFonts w:hint="eastAsia" w:ascii="仿宋_GB2312" w:eastAsia="仿宋_GB2312"/>
                <w:sz w:val="28"/>
                <w:szCs w:val="28"/>
              </w:rPr>
            </w:pPr>
            <w:r>
              <w:rPr>
                <w:rFonts w:hint="eastAsia" w:ascii="仿宋_GB2312" w:eastAsia="仿宋_GB2312"/>
                <w:sz w:val="28"/>
                <w:szCs w:val="28"/>
              </w:rPr>
              <w:t>联系人</w:t>
            </w:r>
          </w:p>
        </w:tc>
        <w:tc>
          <w:tcPr>
            <w:tcW w:w="1800" w:type="dxa"/>
            <w:vAlign w:val="center"/>
          </w:tcPr>
          <w:p>
            <w:pPr>
              <w:jc w:val="center"/>
              <w:rPr>
                <w:rFonts w:hint="eastAsia" w:ascii="仿宋_GB2312" w:eastAsia="仿宋_GB2312"/>
                <w:sz w:val="28"/>
                <w:szCs w:val="28"/>
              </w:rPr>
            </w:pPr>
            <w:r>
              <w:rPr>
                <w:rFonts w:hint="eastAsia" w:ascii="仿宋_GB2312" w:eastAsia="仿宋_GB2312"/>
                <w:sz w:val="28"/>
                <w:szCs w:val="28"/>
              </w:rPr>
              <w:t>办公电话</w:t>
            </w:r>
          </w:p>
        </w:tc>
        <w:tc>
          <w:tcPr>
            <w:tcW w:w="1440" w:type="dxa"/>
            <w:vAlign w:val="center"/>
          </w:tcPr>
          <w:p>
            <w:pPr>
              <w:jc w:val="center"/>
              <w:rPr>
                <w:rFonts w:hint="eastAsia" w:ascii="仿宋_GB2312" w:eastAsia="仿宋_GB2312"/>
                <w:sz w:val="28"/>
                <w:szCs w:val="28"/>
              </w:rPr>
            </w:pPr>
            <w:r>
              <w:rPr>
                <w:rFonts w:hint="eastAsia" w:ascii="仿宋_GB2312" w:eastAsia="仿宋_GB2312"/>
                <w:sz w:val="28"/>
                <w:szCs w:val="28"/>
              </w:rPr>
              <w:t>手机</w:t>
            </w:r>
          </w:p>
        </w:tc>
        <w:tc>
          <w:tcPr>
            <w:tcW w:w="1437" w:type="dxa"/>
            <w:vAlign w:val="center"/>
          </w:tcPr>
          <w:p>
            <w:pPr>
              <w:jc w:val="center"/>
              <w:rPr>
                <w:rFonts w:hint="eastAsia" w:ascii="仿宋_GB2312" w:eastAsia="仿宋_GB2312"/>
                <w:sz w:val="28"/>
                <w:szCs w:val="28"/>
              </w:rPr>
            </w:pPr>
            <w:r>
              <w:rPr>
                <w:rFonts w:hint="eastAsia" w:ascii="仿宋_GB2312" w:eastAsia="仿宋_GB2312"/>
                <w:sz w:val="28"/>
                <w:szCs w:val="28"/>
              </w:rPr>
              <w:t>传真</w:t>
            </w:r>
          </w:p>
        </w:tc>
        <w:tc>
          <w:tcPr>
            <w:tcW w:w="1937" w:type="dxa"/>
            <w:vAlign w:val="center"/>
          </w:tcPr>
          <w:p>
            <w:pPr>
              <w:jc w:val="center"/>
              <w:rPr>
                <w:rFonts w:hint="eastAsia" w:ascii="仿宋_GB2312" w:eastAsia="仿宋_GB2312"/>
                <w:sz w:val="28"/>
                <w:szCs w:val="28"/>
              </w:rPr>
            </w:pPr>
            <w:r>
              <w:rPr>
                <w:rFonts w:hint="eastAsia" w:ascii="仿宋_GB2312" w:eastAsia="仿宋_GB2312"/>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top"/>
          </w:tcPr>
          <w:p>
            <w:pPr>
              <w:rPr>
                <w:rFonts w:hint="eastAsia" w:ascii="仿宋_GB2312" w:eastAsia="仿宋_GB2312"/>
                <w:sz w:val="30"/>
                <w:szCs w:val="30"/>
              </w:rPr>
            </w:pPr>
          </w:p>
        </w:tc>
        <w:tc>
          <w:tcPr>
            <w:tcW w:w="1800" w:type="dxa"/>
            <w:vAlign w:val="top"/>
          </w:tcPr>
          <w:p>
            <w:pPr>
              <w:rPr>
                <w:rFonts w:hint="eastAsia" w:ascii="仿宋_GB2312" w:eastAsia="仿宋_GB2312"/>
                <w:sz w:val="30"/>
                <w:szCs w:val="30"/>
              </w:rPr>
            </w:pPr>
          </w:p>
        </w:tc>
        <w:tc>
          <w:tcPr>
            <w:tcW w:w="1440" w:type="dxa"/>
            <w:vAlign w:val="top"/>
          </w:tcPr>
          <w:p>
            <w:pPr>
              <w:rPr>
                <w:rFonts w:hint="eastAsia" w:ascii="仿宋_GB2312" w:eastAsia="仿宋_GB2312"/>
                <w:sz w:val="30"/>
                <w:szCs w:val="30"/>
              </w:rPr>
            </w:pPr>
          </w:p>
        </w:tc>
        <w:tc>
          <w:tcPr>
            <w:tcW w:w="1437" w:type="dxa"/>
            <w:vAlign w:val="top"/>
          </w:tcPr>
          <w:p>
            <w:pPr>
              <w:rPr>
                <w:rFonts w:hint="eastAsia" w:ascii="仿宋_GB2312" w:eastAsia="仿宋_GB2312"/>
                <w:sz w:val="30"/>
                <w:szCs w:val="30"/>
              </w:rPr>
            </w:pPr>
          </w:p>
        </w:tc>
        <w:tc>
          <w:tcPr>
            <w:tcW w:w="1937" w:type="dxa"/>
            <w:vAlign w:val="top"/>
          </w:tcPr>
          <w:p>
            <w:pP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内部管理制度和风险防范机制说明（主要包括机构设置、主</w:t>
            </w:r>
            <w:r>
              <w:rPr>
                <w:rFonts w:hint="eastAsia" w:ascii="仿宋_GB2312" w:eastAsia="仿宋_GB2312"/>
                <w:sz w:val="28"/>
                <w:szCs w:val="28"/>
                <w:lang w:eastAsia="zh-CN"/>
              </w:rPr>
              <w:t>办</w:t>
            </w:r>
            <w:r>
              <w:rPr>
                <w:rFonts w:hint="eastAsia" w:ascii="仿宋_GB2312" w:eastAsia="仿宋_GB2312"/>
                <w:sz w:val="28"/>
                <w:szCs w:val="28"/>
              </w:rPr>
              <w:t>部门职责、人员配备、岗位责任、信息系统建设、资金汇划渠道等各种内部管理制度和风险防范机制说明）</w:t>
            </w:r>
          </w:p>
          <w:p>
            <w:pPr>
              <w:rPr>
                <w:rFonts w:hint="eastAsia" w:ascii="仿宋_GB2312" w:eastAsia="仿宋_GB2312"/>
                <w:sz w:val="28"/>
                <w:szCs w:val="28"/>
              </w:rPr>
            </w:pPr>
          </w:p>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资金支付与清算流程（主要包括拟代理国库集中收付业务时向收款人进行支付和向人民银行进行资金清算的流程和有关说明）</w:t>
            </w:r>
          </w:p>
          <w:p>
            <w:pPr>
              <w:rPr>
                <w:rFonts w:hint="eastAsia" w:ascii="仿宋_GB2312" w:eastAsia="仿宋_GB2312"/>
                <w:sz w:val="28"/>
                <w:szCs w:val="28"/>
              </w:rPr>
            </w:pPr>
          </w:p>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相关配套措施（主要包括针对国库集中收付业务的特殊性制定的管理措施、计算机硬件配置、软件开发及联网通讯方案等配套措施）</w:t>
            </w:r>
          </w:p>
          <w:p>
            <w:pPr>
              <w:rPr>
                <w:rFonts w:hint="eastAsia" w:ascii="仿宋_GB2312" w:eastAsia="仿宋_GB2312"/>
                <w:sz w:val="28"/>
                <w:szCs w:val="28"/>
              </w:rPr>
            </w:pPr>
          </w:p>
          <w:p>
            <w:pP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服务承诺：</w:t>
            </w:r>
          </w:p>
          <w:p>
            <w:pPr>
              <w:rPr>
                <w:rFonts w:hint="eastAsia" w:ascii="仿宋_GB2312" w:eastAsia="仿宋_GB2312"/>
                <w:sz w:val="28"/>
                <w:szCs w:val="28"/>
              </w:rPr>
            </w:pPr>
          </w:p>
          <w:p>
            <w:pPr>
              <w:rPr>
                <w:rFonts w:hint="eastAsia" w:ascii="仿宋_GB2312" w:eastAsia="仿宋_GB2312"/>
                <w:sz w:val="28"/>
                <w:szCs w:val="28"/>
              </w:rPr>
            </w:pPr>
          </w:p>
        </w:tc>
      </w:tr>
    </w:tbl>
    <w:p>
      <w:pPr>
        <w:jc w:val="left"/>
        <w:rPr>
          <w:rFonts w:hint="eastAsia" w:ascii="仿宋_GB2312" w:hAnsi="仿宋_GB2312" w:eastAsia="仿宋_GB2312" w:cs="宋体"/>
          <w:kern w:val="0"/>
          <w:sz w:val="32"/>
          <w:szCs w:val="32"/>
          <w:lang w:eastAsia="zh-CN"/>
        </w:rPr>
      </w:pPr>
      <w:r>
        <w:rPr>
          <w:rFonts w:hint="eastAsia" w:ascii="仿宋_GB2312" w:hAnsi="仿宋_GB2312" w:eastAsia="仿宋_GB2312" w:cs="宋体"/>
          <w:kern w:val="0"/>
          <w:sz w:val="32"/>
          <w:szCs w:val="32"/>
          <w:lang w:eastAsia="zh-CN"/>
        </w:rPr>
        <w:t>申请书</w:t>
      </w:r>
      <w:r>
        <w:rPr>
          <w:rFonts w:hint="eastAsia" w:ascii="仿宋_GB2312" w:hAnsi="仿宋_GB2312" w:eastAsia="仿宋_GB2312" w:cs="宋体"/>
          <w:kern w:val="0"/>
          <w:sz w:val="32"/>
          <w:szCs w:val="32"/>
        </w:rPr>
        <w:t>填写示范</w:t>
      </w:r>
      <w:r>
        <w:rPr>
          <w:rFonts w:hint="eastAsia" w:ascii="仿宋_GB2312" w:hAnsi="仿宋_GB2312" w:eastAsia="仿宋_GB2312" w:cs="宋体"/>
          <w:kern w:val="0"/>
          <w:sz w:val="32"/>
          <w:szCs w:val="32"/>
          <w:lang w:eastAsia="zh-CN"/>
        </w:rPr>
        <w:t>文本</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宁夏地方国库集中收付代理银行资格认定</w:t>
      </w: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申　</w:t>
      </w: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请　</w:t>
      </w:r>
    </w:p>
    <w:p>
      <w:pPr>
        <w:jc w:val="center"/>
        <w:rPr>
          <w:rFonts w:hint="eastAsia" w:eastAsia="黑体"/>
          <w:sz w:val="72"/>
          <w:szCs w:val="72"/>
        </w:rPr>
      </w:pPr>
    </w:p>
    <w:p>
      <w:pPr>
        <w:jc w:val="center"/>
        <w:rPr>
          <w:rFonts w:hint="eastAsia" w:eastAsia="黑体"/>
          <w:sz w:val="72"/>
          <w:szCs w:val="72"/>
        </w:rPr>
      </w:pPr>
      <w:r>
        <w:rPr>
          <w:rFonts w:hint="eastAsia" w:eastAsia="黑体"/>
          <w:sz w:val="72"/>
          <w:szCs w:val="72"/>
        </w:rPr>
        <w:t>书</w:t>
      </w:r>
    </w:p>
    <w:p>
      <w:pPr>
        <w:jc w:val="center"/>
        <w:rPr>
          <w:rFonts w:hint="eastAsia" w:eastAsia="黑体"/>
          <w:sz w:val="36"/>
        </w:rPr>
      </w:pPr>
    </w:p>
    <w:p>
      <w:pPr>
        <w:rPr>
          <w:rFonts w:hint="eastAsia"/>
        </w:rPr>
      </w:pPr>
    </w:p>
    <w:p>
      <w:pPr>
        <w:rPr>
          <w:rFonts w:hint="eastAsia"/>
        </w:rPr>
      </w:pPr>
    </w:p>
    <w:p>
      <w:pPr>
        <w:rPr>
          <w:rFonts w:hint="eastAsia"/>
        </w:rPr>
      </w:pPr>
    </w:p>
    <w:p>
      <w:pPr>
        <w:rPr>
          <w:rFonts w:hint="default" w:ascii="仿宋_GB2312" w:eastAsia="仿宋_GB2312"/>
          <w:sz w:val="32"/>
          <w:szCs w:val="32"/>
          <w:lang w:val="en-US" w:eastAsia="zh-CN"/>
        </w:rPr>
      </w:pPr>
      <w:r>
        <w:rPr>
          <w:rFonts w:hint="eastAsia" w:ascii="仿宋_GB2312" w:eastAsia="仿宋_GB2312"/>
          <w:sz w:val="32"/>
          <w:szCs w:val="32"/>
        </w:rPr>
        <w:t>申请机构名称：</w:t>
      </w:r>
      <w:r>
        <w:rPr>
          <w:rFonts w:hint="eastAsia" w:ascii="仿宋_GB2312" w:eastAsia="仿宋_GB2312"/>
          <w:sz w:val="32"/>
          <w:szCs w:val="32"/>
          <w:lang w:val="en-US" w:eastAsia="zh-CN"/>
        </w:rPr>
        <w:t>XXXXXXXXXX（单位名称与单位公章保持一致）</w:t>
      </w:r>
    </w:p>
    <w:p>
      <w:pPr>
        <w:rPr>
          <w:rFonts w:hint="default" w:ascii="仿宋_GB2312" w:eastAsia="仿宋_GB2312"/>
          <w:sz w:val="32"/>
          <w:szCs w:val="32"/>
          <w:lang w:val="en-US" w:eastAsia="zh-CN"/>
        </w:rPr>
      </w:pPr>
      <w:r>
        <w:rPr>
          <w:rFonts w:hint="eastAsia" w:ascii="仿宋_GB2312" w:eastAsia="仿宋_GB2312"/>
          <w:sz w:val="32"/>
          <w:szCs w:val="32"/>
        </w:rPr>
        <w:t>地址：</w:t>
      </w:r>
      <w:r>
        <w:rPr>
          <w:rFonts w:hint="eastAsia" w:ascii="仿宋_GB2312" w:eastAsia="仿宋_GB2312"/>
          <w:sz w:val="32"/>
          <w:szCs w:val="32"/>
          <w:lang w:val="en-US" w:eastAsia="zh-CN"/>
        </w:rPr>
        <w:t>XXXXXXXXXXX</w:t>
      </w:r>
    </w:p>
    <w:p>
      <w:pPr>
        <w:rPr>
          <w:rFonts w:hint="default" w:ascii="仿宋_GB2312" w:eastAsia="仿宋_GB2312"/>
          <w:sz w:val="32"/>
          <w:szCs w:val="32"/>
          <w:lang w:val="en-US" w:eastAsia="zh-CN"/>
        </w:rPr>
      </w:pPr>
      <w:r>
        <w:rPr>
          <w:rFonts w:hint="eastAsia" w:ascii="仿宋_GB2312" w:eastAsia="仿宋_GB2312"/>
          <w:sz w:val="32"/>
          <w:szCs w:val="32"/>
        </w:rPr>
        <w:t>申请机构负责人：</w:t>
      </w:r>
      <w:r>
        <w:rPr>
          <w:rFonts w:hint="eastAsia" w:ascii="仿宋_GB2312" w:eastAsia="仿宋_GB2312"/>
          <w:sz w:val="32"/>
          <w:szCs w:val="32"/>
          <w:lang w:val="en-US" w:eastAsia="zh-CN"/>
        </w:rPr>
        <w:t>XXX</w:t>
      </w:r>
    </w:p>
    <w:p>
      <w:pPr>
        <w:rPr>
          <w:rFonts w:hint="eastAsia" w:ascii="仿宋_GB2312" w:eastAsia="仿宋_GB2312"/>
          <w:sz w:val="32"/>
          <w:szCs w:val="32"/>
        </w:rPr>
      </w:pPr>
      <w:r>
        <w:rPr>
          <w:rFonts w:hint="eastAsia" w:ascii="仿宋_GB2312" w:eastAsia="仿宋_GB2312"/>
          <w:sz w:val="32"/>
          <w:szCs w:val="32"/>
        </w:rPr>
        <w:t>申请日期：</w:t>
      </w:r>
      <w:r>
        <w:rPr>
          <w:rFonts w:hint="eastAsia" w:ascii="仿宋_GB2312" w:eastAsia="仿宋_GB2312"/>
          <w:sz w:val="32"/>
          <w:szCs w:val="32"/>
          <w:lang w:val="en-US" w:eastAsia="zh-CN"/>
        </w:rPr>
        <w:t>XXXX</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w:t>
      </w:r>
    </w:p>
    <w:p>
      <w:pPr>
        <w:rPr>
          <w:rFonts w:hint="eastAsia" w:ascii="仿宋_GB2312" w:eastAsia="仿宋_GB2312"/>
          <w:sz w:val="32"/>
          <w:szCs w:val="32"/>
          <w:lang w:val="en-US" w:eastAsia="zh-CN"/>
        </w:rPr>
      </w:pPr>
      <w:r>
        <w:rPr>
          <w:rFonts w:hint="eastAsia" w:ascii="仿宋_GB2312" w:eastAsia="仿宋_GB2312"/>
          <w:sz w:val="32"/>
          <w:szCs w:val="32"/>
        </w:rPr>
        <w:t>受理单位名称：</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p>
    <w:p>
      <w:pPr>
        <w:rPr>
          <w:rFonts w:hint="eastAsia" w:ascii="仿宋_GB2312" w:eastAsia="仿宋_GB2312"/>
          <w:sz w:val="32"/>
          <w:szCs w:val="32"/>
        </w:rPr>
      </w:pPr>
      <w:r>
        <w:rPr>
          <w:rFonts w:hint="eastAsia" w:ascii="仿宋_GB2312" w:eastAsia="仿宋_GB2312"/>
          <w:sz w:val="32"/>
          <w:szCs w:val="32"/>
        </w:rPr>
        <w:t>受理日期：</w:t>
      </w:r>
      <w:r>
        <w:rPr>
          <w:rFonts w:hint="eastAsia" w:ascii="仿宋_GB2312" w:eastAsia="仿宋_GB2312"/>
          <w:sz w:val="32"/>
          <w:szCs w:val="32"/>
          <w:lang w:val="en-US" w:eastAsia="zh-CN"/>
        </w:rPr>
        <w:t>XXXX</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w:t>
      </w:r>
    </w:p>
    <w:p>
      <w:pPr>
        <w:rPr>
          <w:rFonts w:hint="eastAsia" w:ascii="仿宋_GB2312" w:eastAsia="仿宋_GB2312"/>
          <w:sz w:val="32"/>
          <w:szCs w:val="32"/>
        </w:rPr>
      </w:pPr>
    </w:p>
    <w:p>
      <w:pPr>
        <w:jc w:val="both"/>
        <w:rPr>
          <w:rFonts w:hint="eastAsia" w:ascii="仿宋_GB2312" w:eastAsia="仿宋_GB2312"/>
          <w:b/>
          <w:sz w:val="32"/>
          <w:szCs w:val="32"/>
        </w:rPr>
      </w:pPr>
    </w:p>
    <w:p>
      <w:pPr>
        <w:jc w:val="center"/>
        <w:rPr>
          <w:rFonts w:hint="eastAsia" w:ascii="仿宋_GB2312" w:eastAsia="仿宋_GB2312"/>
          <w:b/>
          <w:sz w:val="32"/>
          <w:szCs w:val="32"/>
        </w:rPr>
      </w:pPr>
      <w:r>
        <w:rPr>
          <w:rFonts w:hint="eastAsia" w:ascii="仿宋_GB2312" w:eastAsia="仿宋_GB2312"/>
          <w:b/>
          <w:sz w:val="32"/>
          <w:szCs w:val="32"/>
        </w:rPr>
        <w:t>××单位基本情况表</w:t>
      </w:r>
    </w:p>
    <w:p>
      <w:pPr>
        <w:jc w:val="center"/>
        <w:rPr>
          <w:rFonts w:hint="eastAsia" w:ascii="仿宋_GB2312" w:eastAsia="仿宋_GB2312"/>
          <w:sz w:val="28"/>
          <w:szCs w:val="28"/>
        </w:rPr>
      </w:pPr>
      <w:r>
        <w:rPr>
          <w:rFonts w:hint="eastAsia" w:ascii="仿宋_GB2312" w:eastAsia="仿宋_GB2312"/>
          <w:sz w:val="28"/>
          <w:szCs w:val="28"/>
        </w:rPr>
        <w:t>填表日期：</w:t>
      </w:r>
      <w:r>
        <w:rPr>
          <w:rFonts w:hint="eastAsia" w:ascii="仿宋_GB2312" w:eastAsia="仿宋_GB2312"/>
          <w:sz w:val="28"/>
          <w:szCs w:val="28"/>
          <w:lang w:val="en-US" w:eastAsia="zh-CN"/>
        </w:rPr>
        <w:t>XXXX</w:t>
      </w:r>
      <w:r>
        <w:rPr>
          <w:rFonts w:hint="eastAsia" w:ascii="仿宋_GB2312" w:eastAsia="仿宋_GB2312"/>
          <w:sz w:val="28"/>
          <w:szCs w:val="28"/>
        </w:rPr>
        <w:t>年</w:t>
      </w:r>
      <w:r>
        <w:rPr>
          <w:rFonts w:hint="eastAsia" w:ascii="仿宋_GB2312" w:eastAsia="仿宋_GB2312"/>
          <w:sz w:val="28"/>
          <w:szCs w:val="28"/>
          <w:lang w:val="en-US" w:eastAsia="zh-CN"/>
        </w:rPr>
        <w:t>XX</w:t>
      </w:r>
      <w:r>
        <w:rPr>
          <w:rFonts w:hint="eastAsia" w:ascii="仿宋_GB2312" w:eastAsia="仿宋_GB2312"/>
          <w:sz w:val="28"/>
          <w:szCs w:val="28"/>
        </w:rPr>
        <w:t>月</w:t>
      </w:r>
      <w:r>
        <w:rPr>
          <w:rFonts w:hint="eastAsia" w:ascii="仿宋_GB2312" w:eastAsia="仿宋_GB2312"/>
          <w:sz w:val="28"/>
          <w:szCs w:val="28"/>
          <w:lang w:val="en-US" w:eastAsia="zh-CN"/>
        </w:rPr>
        <w:t>XX</w:t>
      </w:r>
      <w:r>
        <w:rPr>
          <w:rFonts w:hint="eastAsia" w:ascii="仿宋_GB2312" w:eastAsia="仿宋_GB2312"/>
          <w:sz w:val="28"/>
          <w:szCs w:val="28"/>
        </w:rPr>
        <w:t>日</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0"/>
        <w:gridCol w:w="1440"/>
        <w:gridCol w:w="1437"/>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default" w:ascii="仿宋_GB2312" w:eastAsia="仿宋_GB2312"/>
                <w:sz w:val="28"/>
                <w:szCs w:val="28"/>
                <w:lang w:val="en-US" w:eastAsia="zh-CN"/>
              </w:rPr>
            </w:pPr>
            <w:r>
              <w:rPr>
                <w:rFonts w:hint="eastAsia" w:ascii="仿宋_GB2312" w:eastAsia="仿宋_GB2312"/>
                <w:sz w:val="28"/>
                <w:szCs w:val="28"/>
              </w:rPr>
              <w:t>申请事项：</w:t>
            </w:r>
            <w:r>
              <w:rPr>
                <w:rFonts w:hint="eastAsia" w:ascii="仿宋_GB2312" w:eastAsia="仿宋_GB2312"/>
                <w:sz w:val="28"/>
                <w:szCs w:val="28"/>
                <w:lang w:val="en-US" w:eastAsia="zh-CN"/>
              </w:rPr>
              <w:t>XXXX申请XX（区级/市级/区县级）国库集中收付代理银行资格认定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default" w:ascii="仿宋_GB2312" w:eastAsia="仿宋_GB2312"/>
                <w:sz w:val="28"/>
                <w:szCs w:val="28"/>
                <w:lang w:val="en-US" w:eastAsia="zh-CN"/>
              </w:rPr>
            </w:pPr>
            <w:r>
              <w:rPr>
                <w:rFonts w:hint="eastAsia" w:ascii="仿宋_GB2312" w:eastAsia="仿宋_GB2312"/>
                <w:sz w:val="28"/>
                <w:szCs w:val="28"/>
              </w:rPr>
              <w:t>申请单位：</w:t>
            </w:r>
            <w:r>
              <w:rPr>
                <w:rFonts w:hint="eastAsia" w:ascii="仿宋_GB2312" w:eastAsia="仿宋_GB2312"/>
                <w:sz w:val="28"/>
                <w:szCs w:val="28"/>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jc w:val="center"/>
              <w:rPr>
                <w:rFonts w:hint="eastAsia" w:ascii="仿宋_GB2312" w:eastAsia="仿宋_GB2312"/>
                <w:sz w:val="28"/>
                <w:szCs w:val="28"/>
              </w:rPr>
            </w:pPr>
            <w:r>
              <w:rPr>
                <w:rFonts w:hint="eastAsia" w:ascii="仿宋_GB2312" w:eastAsia="仿宋_GB2312"/>
                <w:sz w:val="28"/>
                <w:szCs w:val="28"/>
              </w:rPr>
              <w:t>联系人</w:t>
            </w:r>
          </w:p>
        </w:tc>
        <w:tc>
          <w:tcPr>
            <w:tcW w:w="1800" w:type="dxa"/>
            <w:vAlign w:val="center"/>
          </w:tcPr>
          <w:p>
            <w:pPr>
              <w:jc w:val="center"/>
              <w:rPr>
                <w:rFonts w:hint="eastAsia" w:ascii="仿宋_GB2312" w:eastAsia="仿宋_GB2312"/>
                <w:sz w:val="28"/>
                <w:szCs w:val="28"/>
              </w:rPr>
            </w:pPr>
            <w:r>
              <w:rPr>
                <w:rFonts w:hint="eastAsia" w:ascii="仿宋_GB2312" w:eastAsia="仿宋_GB2312"/>
                <w:sz w:val="28"/>
                <w:szCs w:val="28"/>
              </w:rPr>
              <w:t>办公电话</w:t>
            </w:r>
          </w:p>
        </w:tc>
        <w:tc>
          <w:tcPr>
            <w:tcW w:w="1440" w:type="dxa"/>
            <w:vAlign w:val="center"/>
          </w:tcPr>
          <w:p>
            <w:pPr>
              <w:jc w:val="center"/>
              <w:rPr>
                <w:rFonts w:hint="eastAsia" w:ascii="仿宋_GB2312" w:eastAsia="仿宋_GB2312"/>
                <w:sz w:val="28"/>
                <w:szCs w:val="28"/>
              </w:rPr>
            </w:pPr>
            <w:r>
              <w:rPr>
                <w:rFonts w:hint="eastAsia" w:ascii="仿宋_GB2312" w:eastAsia="仿宋_GB2312"/>
                <w:sz w:val="28"/>
                <w:szCs w:val="28"/>
              </w:rPr>
              <w:t>手机</w:t>
            </w:r>
          </w:p>
        </w:tc>
        <w:tc>
          <w:tcPr>
            <w:tcW w:w="1437" w:type="dxa"/>
            <w:vAlign w:val="center"/>
          </w:tcPr>
          <w:p>
            <w:pPr>
              <w:jc w:val="center"/>
              <w:rPr>
                <w:rFonts w:hint="eastAsia" w:ascii="仿宋_GB2312" w:eastAsia="仿宋_GB2312"/>
                <w:sz w:val="28"/>
                <w:szCs w:val="28"/>
              </w:rPr>
            </w:pPr>
            <w:r>
              <w:rPr>
                <w:rFonts w:hint="eastAsia" w:ascii="仿宋_GB2312" w:eastAsia="仿宋_GB2312"/>
                <w:sz w:val="28"/>
                <w:szCs w:val="28"/>
              </w:rPr>
              <w:t>传真</w:t>
            </w:r>
          </w:p>
        </w:tc>
        <w:tc>
          <w:tcPr>
            <w:tcW w:w="1937" w:type="dxa"/>
            <w:vAlign w:val="center"/>
          </w:tcPr>
          <w:p>
            <w:pPr>
              <w:jc w:val="center"/>
              <w:rPr>
                <w:rFonts w:hint="eastAsia" w:ascii="仿宋_GB2312" w:eastAsia="仿宋_GB2312"/>
                <w:sz w:val="28"/>
                <w:szCs w:val="28"/>
              </w:rPr>
            </w:pPr>
            <w:r>
              <w:rPr>
                <w:rFonts w:hint="eastAsia" w:ascii="仿宋_GB2312" w:eastAsia="仿宋_GB2312"/>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vAlign w:val="top"/>
          </w:tcPr>
          <w:p>
            <w:pPr>
              <w:rPr>
                <w:rFonts w:hint="default" w:ascii="仿宋_GB2312" w:eastAsia="仿宋_GB2312"/>
                <w:sz w:val="30"/>
                <w:szCs w:val="30"/>
                <w:lang w:val="en-US" w:eastAsia="zh-CN"/>
              </w:rPr>
            </w:pPr>
            <w:r>
              <w:rPr>
                <w:rFonts w:hint="eastAsia" w:ascii="仿宋_GB2312" w:eastAsia="仿宋_GB2312"/>
                <w:sz w:val="30"/>
                <w:szCs w:val="30"/>
                <w:lang w:val="en-US" w:eastAsia="zh-CN"/>
              </w:rPr>
              <w:t>xxxx</w:t>
            </w:r>
          </w:p>
        </w:tc>
        <w:tc>
          <w:tcPr>
            <w:tcW w:w="1800" w:type="dxa"/>
            <w:vAlign w:val="top"/>
          </w:tcPr>
          <w:p>
            <w:pPr>
              <w:rPr>
                <w:rFonts w:hint="default" w:ascii="仿宋_GB2312" w:eastAsia="仿宋_GB2312"/>
                <w:sz w:val="30"/>
                <w:szCs w:val="30"/>
                <w:lang w:val="en-US" w:eastAsia="zh-CN"/>
              </w:rPr>
            </w:pPr>
            <w:r>
              <w:rPr>
                <w:rFonts w:hint="eastAsia" w:ascii="仿宋_GB2312" w:eastAsia="仿宋_GB2312"/>
                <w:sz w:val="30"/>
                <w:szCs w:val="30"/>
                <w:lang w:val="en-US" w:eastAsia="zh-CN"/>
              </w:rPr>
              <w:t>xxxx</w:t>
            </w:r>
          </w:p>
        </w:tc>
        <w:tc>
          <w:tcPr>
            <w:tcW w:w="1440" w:type="dxa"/>
            <w:vAlign w:val="top"/>
          </w:tcPr>
          <w:p>
            <w:pPr>
              <w:rPr>
                <w:rFonts w:hint="default" w:ascii="仿宋_GB2312" w:eastAsia="仿宋_GB2312"/>
                <w:sz w:val="30"/>
                <w:szCs w:val="30"/>
                <w:lang w:val="en-US" w:eastAsia="zh-CN"/>
              </w:rPr>
            </w:pPr>
            <w:r>
              <w:rPr>
                <w:rFonts w:hint="eastAsia" w:ascii="仿宋_GB2312" w:eastAsia="仿宋_GB2312"/>
                <w:sz w:val="30"/>
                <w:szCs w:val="30"/>
                <w:lang w:val="en-US" w:eastAsia="zh-CN"/>
              </w:rPr>
              <w:t>xxxx</w:t>
            </w:r>
          </w:p>
        </w:tc>
        <w:tc>
          <w:tcPr>
            <w:tcW w:w="1437" w:type="dxa"/>
            <w:vAlign w:val="top"/>
          </w:tcPr>
          <w:p>
            <w:pPr>
              <w:rPr>
                <w:rFonts w:hint="default" w:ascii="仿宋_GB2312" w:eastAsia="仿宋_GB2312"/>
                <w:sz w:val="30"/>
                <w:szCs w:val="30"/>
                <w:lang w:val="en-US" w:eastAsia="zh-CN"/>
              </w:rPr>
            </w:pPr>
            <w:r>
              <w:rPr>
                <w:rFonts w:hint="eastAsia" w:ascii="仿宋_GB2312" w:eastAsia="仿宋_GB2312"/>
                <w:sz w:val="30"/>
                <w:szCs w:val="30"/>
                <w:lang w:val="en-US" w:eastAsia="zh-CN"/>
              </w:rPr>
              <w:t>xxxx</w:t>
            </w:r>
          </w:p>
        </w:tc>
        <w:tc>
          <w:tcPr>
            <w:tcW w:w="1937" w:type="dxa"/>
            <w:vAlign w:val="top"/>
          </w:tcPr>
          <w:p>
            <w:pPr>
              <w:rPr>
                <w:rFonts w:hint="default" w:ascii="仿宋_GB2312" w:eastAsia="仿宋_GB2312"/>
                <w:sz w:val="30"/>
                <w:szCs w:val="30"/>
                <w:lang w:val="en-US" w:eastAsia="zh-CN"/>
              </w:rPr>
            </w:pPr>
            <w:r>
              <w:rPr>
                <w:rFonts w:hint="eastAsia" w:ascii="仿宋_GB2312" w:eastAsia="仿宋_GB2312"/>
                <w:sz w:val="30"/>
                <w:szCs w:val="30"/>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内部管理制度和风险防范机制说明（主要包括机构设置、主</w:t>
            </w:r>
            <w:r>
              <w:rPr>
                <w:rFonts w:hint="eastAsia" w:ascii="仿宋_GB2312" w:eastAsia="仿宋_GB2312"/>
                <w:sz w:val="28"/>
                <w:szCs w:val="28"/>
                <w:lang w:eastAsia="zh-CN"/>
              </w:rPr>
              <w:t>办</w:t>
            </w:r>
            <w:r>
              <w:rPr>
                <w:rFonts w:hint="eastAsia" w:ascii="仿宋_GB2312" w:eastAsia="仿宋_GB2312"/>
                <w:sz w:val="28"/>
                <w:szCs w:val="28"/>
              </w:rPr>
              <w:t>部门职责、人员配备、岗位责任、信息系统建设、资金汇划渠道等各种内部管理制度和风险防范机制说明）</w:t>
            </w:r>
          </w:p>
          <w:p>
            <w:pPr>
              <w:numPr>
                <w:ilvl w:val="0"/>
                <w:numId w:val="4"/>
              </w:numPr>
              <w:rPr>
                <w:rFonts w:hint="eastAsia" w:ascii="仿宋_GB2312" w:eastAsia="仿宋_GB2312"/>
                <w:sz w:val="28"/>
                <w:szCs w:val="28"/>
                <w:lang w:val="en-US" w:eastAsia="zh-CN"/>
              </w:rPr>
            </w:pPr>
            <w:r>
              <w:rPr>
                <w:rFonts w:hint="eastAsia" w:ascii="仿宋_GB2312" w:eastAsia="仿宋_GB2312"/>
                <w:sz w:val="28"/>
                <w:szCs w:val="28"/>
                <w:lang w:val="en-US" w:eastAsia="zh-CN"/>
              </w:rPr>
              <w:t>机构设置：包括XXXX部门，详细描述相关组织框架。</w:t>
            </w:r>
          </w:p>
          <w:p>
            <w:pPr>
              <w:numPr>
                <w:ilvl w:val="0"/>
                <w:numId w:val="4"/>
              </w:numPr>
              <w:rPr>
                <w:rFonts w:hint="default" w:ascii="仿宋_GB2312" w:eastAsia="仿宋_GB2312"/>
                <w:sz w:val="28"/>
                <w:szCs w:val="28"/>
                <w:lang w:val="en-US" w:eastAsia="zh-CN"/>
              </w:rPr>
            </w:pPr>
            <w:r>
              <w:rPr>
                <w:rFonts w:hint="eastAsia" w:ascii="仿宋_GB2312" w:eastAsia="仿宋_GB2312"/>
                <w:sz w:val="28"/>
                <w:szCs w:val="28"/>
                <w:lang w:val="en-US" w:eastAsia="zh-CN"/>
              </w:rPr>
              <w:t>主办部门职责：XXXX部门，其职责为XXXXXXX。</w:t>
            </w:r>
          </w:p>
          <w:p>
            <w:pPr>
              <w:numPr>
                <w:ilvl w:val="0"/>
                <w:numId w:val="4"/>
              </w:numPr>
              <w:rPr>
                <w:rFonts w:hint="default" w:ascii="仿宋_GB2312" w:eastAsia="仿宋_GB2312"/>
                <w:sz w:val="28"/>
                <w:szCs w:val="28"/>
                <w:lang w:val="en-US" w:eastAsia="zh-CN"/>
              </w:rPr>
            </w:pPr>
            <w:r>
              <w:rPr>
                <w:rFonts w:hint="eastAsia" w:ascii="仿宋_GB2312" w:eastAsia="仿宋_GB2312"/>
                <w:sz w:val="28"/>
                <w:szCs w:val="28"/>
                <w:lang w:val="en-US" w:eastAsia="zh-CN"/>
              </w:rPr>
              <w:t>人员配备情况：各部门、机构人员配备情况。</w:t>
            </w:r>
          </w:p>
          <w:p>
            <w:pPr>
              <w:numPr>
                <w:ilvl w:val="0"/>
                <w:numId w:val="4"/>
              </w:numPr>
              <w:rPr>
                <w:rFonts w:hint="default" w:ascii="仿宋_GB2312" w:eastAsia="仿宋_GB2312"/>
                <w:sz w:val="28"/>
                <w:szCs w:val="28"/>
                <w:lang w:val="en-US" w:eastAsia="zh-CN"/>
              </w:rPr>
            </w:pPr>
            <w:r>
              <w:rPr>
                <w:rFonts w:hint="eastAsia" w:ascii="仿宋_GB2312" w:eastAsia="仿宋_GB2312"/>
                <w:sz w:val="28"/>
                <w:szCs w:val="28"/>
                <w:lang w:val="en-US" w:eastAsia="zh-CN"/>
              </w:rPr>
              <w:t>岗位责任：包括业务操作岗、管理监督岗、主管岗等具体职责。</w:t>
            </w:r>
          </w:p>
          <w:p>
            <w:pPr>
              <w:numPr>
                <w:ilvl w:val="0"/>
                <w:numId w:val="4"/>
              </w:numPr>
              <w:rPr>
                <w:rFonts w:hint="default" w:ascii="仿宋_GB2312" w:eastAsia="仿宋_GB2312"/>
                <w:sz w:val="28"/>
                <w:szCs w:val="28"/>
                <w:lang w:val="en-US" w:eastAsia="zh-CN"/>
              </w:rPr>
            </w:pPr>
            <w:r>
              <w:rPr>
                <w:rFonts w:hint="eastAsia" w:ascii="仿宋_GB2312" w:eastAsia="仿宋_GB2312"/>
                <w:sz w:val="28"/>
                <w:szCs w:val="28"/>
                <w:lang w:val="en-US" w:eastAsia="zh-CN"/>
              </w:rPr>
              <w:t>信息系统建设：详细描述现行的业务系统及系统构架等。</w:t>
            </w:r>
          </w:p>
          <w:p>
            <w:pPr>
              <w:numPr>
                <w:ilvl w:val="0"/>
                <w:numId w:val="4"/>
              </w:numPr>
              <w:rPr>
                <w:rFonts w:hint="default" w:ascii="仿宋_GB2312" w:eastAsia="仿宋_GB2312"/>
                <w:sz w:val="28"/>
                <w:szCs w:val="28"/>
                <w:lang w:val="en-US" w:eastAsia="zh-CN"/>
              </w:rPr>
            </w:pPr>
            <w:r>
              <w:rPr>
                <w:rFonts w:hint="eastAsia" w:ascii="仿宋_GB2312" w:eastAsia="仿宋_GB2312"/>
                <w:sz w:val="28"/>
                <w:szCs w:val="28"/>
                <w:lang w:val="en-US" w:eastAsia="zh-CN"/>
              </w:rPr>
              <w:t>资金汇划渠道：包括行内及与人行进行汇划相关渠道。</w:t>
            </w:r>
          </w:p>
          <w:p>
            <w:pPr>
              <w:numPr>
                <w:ilvl w:val="0"/>
                <w:numId w:val="4"/>
              </w:numPr>
              <w:rPr>
                <w:rFonts w:hint="default" w:ascii="仿宋_GB2312" w:eastAsia="仿宋_GB2312"/>
                <w:sz w:val="28"/>
                <w:szCs w:val="28"/>
                <w:lang w:val="en-US" w:eastAsia="zh-CN"/>
              </w:rPr>
            </w:pPr>
            <w:r>
              <w:rPr>
                <w:rFonts w:hint="eastAsia" w:ascii="仿宋_GB2312" w:eastAsia="仿宋_GB2312"/>
                <w:sz w:val="28"/>
                <w:szCs w:val="28"/>
                <w:lang w:val="en-US" w:eastAsia="zh-CN"/>
              </w:rPr>
              <w:t>内部管理制度：制定的内控制度及集中收付业务流程等。</w:t>
            </w:r>
          </w:p>
          <w:p>
            <w:pPr>
              <w:numPr>
                <w:ilvl w:val="0"/>
                <w:numId w:val="4"/>
              </w:numPr>
              <w:rPr>
                <w:rFonts w:hint="eastAsia" w:ascii="仿宋_GB2312" w:eastAsia="仿宋_GB2312"/>
                <w:sz w:val="28"/>
                <w:szCs w:val="28"/>
              </w:rPr>
            </w:pPr>
            <w:r>
              <w:rPr>
                <w:rFonts w:hint="eastAsia" w:ascii="仿宋_GB2312" w:eastAsia="仿宋_GB2312"/>
                <w:sz w:val="28"/>
                <w:szCs w:val="28"/>
                <w:lang w:val="en-US" w:eastAsia="zh-CN"/>
              </w:rPr>
              <w:t>风险防范机制等：详细描述全流程风险控制体系建设等情况。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资金支付与清算流程（主要包括拟代理国库集中收付业务时向收款人进行支付和向人民银行进行资金清算的流程和有关说明）</w:t>
            </w:r>
          </w:p>
          <w:p>
            <w:pPr>
              <w:numPr>
                <w:ilvl w:val="0"/>
                <w:numId w:val="0"/>
              </w:numPr>
              <w:rPr>
                <w:rFonts w:hint="eastAsia" w:ascii="仿宋_GB2312" w:eastAsia="仿宋_GB2312"/>
                <w:sz w:val="28"/>
                <w:szCs w:val="28"/>
              </w:rPr>
            </w:pPr>
            <w:r>
              <w:rPr>
                <w:rFonts w:hint="eastAsia" w:ascii="仿宋_GB2312" w:eastAsia="仿宋_GB2312"/>
                <w:sz w:val="28"/>
                <w:szCs w:val="28"/>
                <w:lang w:eastAsia="zh-CN"/>
              </w:rPr>
              <w:t>详细描述：（一）相关账户设置情况；（二）垫款流程及支付路径；（三）资金清算流程及退款相关操作流程；（四）应急管理相关流程。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相关配套措施（主要包括针对国库集中收付业务的特殊性制定的管理措施、计算机硬件配置、软件开发及联网通讯方案等配套措施）</w:t>
            </w:r>
          </w:p>
          <w:p>
            <w:pPr>
              <w:rPr>
                <w:rFonts w:hint="eastAsia" w:ascii="仿宋_GB2312" w:eastAsia="仿宋_GB2312"/>
                <w:sz w:val="28"/>
                <w:szCs w:val="28"/>
              </w:rPr>
            </w:pPr>
            <w:r>
              <w:rPr>
                <w:rFonts w:hint="eastAsia" w:ascii="仿宋_GB2312" w:eastAsia="仿宋_GB2312"/>
                <w:sz w:val="28"/>
                <w:szCs w:val="28"/>
                <w:lang w:eastAsia="zh-CN"/>
              </w:rPr>
              <w:t>详细描述：（一）相关制度制定情况；（二）计算机硬件配套设置情况（含电子凭证库、电子印章等）；（三）软件开发相关方案；（四）联网通讯方案具体的网络架构、安全策略等。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vAlign w:val="top"/>
          </w:tcPr>
          <w:p>
            <w:pPr>
              <w:rPr>
                <w:rFonts w:hint="eastAsia" w:ascii="仿宋_GB2312" w:eastAsia="仿宋_GB2312"/>
                <w:sz w:val="28"/>
                <w:szCs w:val="28"/>
              </w:rPr>
            </w:pPr>
            <w:r>
              <w:rPr>
                <w:rFonts w:hint="eastAsia" w:ascii="仿宋_GB2312" w:eastAsia="仿宋_GB2312"/>
                <w:sz w:val="28"/>
                <w:szCs w:val="28"/>
              </w:rPr>
              <w:t>服务承诺：</w:t>
            </w:r>
          </w:p>
          <w:p>
            <w:pPr>
              <w:rPr>
                <w:rFonts w:hint="eastAsia" w:ascii="仿宋_GB2312" w:eastAsia="仿宋_GB2312"/>
                <w:sz w:val="28"/>
                <w:szCs w:val="28"/>
              </w:rPr>
            </w:pPr>
            <w:r>
              <w:rPr>
                <w:rFonts w:hint="eastAsia" w:ascii="仿宋_GB2312" w:eastAsia="仿宋_GB2312"/>
                <w:sz w:val="28"/>
                <w:szCs w:val="28"/>
                <w:lang w:val="en-US" w:eastAsia="zh-CN"/>
              </w:rPr>
              <w:t xml:space="preserve">    我行承诺提供安全、优质、高效、全方位的金融服务，以雄厚的资金实力、强大的科技水平和研发力量、成熟的软硬件配置、扎实的内部管理和配套措施和负有责任心的管理团队，保障国库集中收付业务在我行安全高效运行，服务好地方经济社会发展。</w:t>
            </w:r>
          </w:p>
        </w:tc>
      </w:tr>
    </w:tbl>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kern w:val="0"/>
          <w:sz w:val="32"/>
          <w:szCs w:val="32"/>
          <w:lang w:val="en-US" w:eastAsia="zh-CN"/>
        </w:rPr>
      </w:pPr>
    </w:p>
    <w:p>
      <w:pPr>
        <w:ind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rPr>
        <w:t>附件3</w:t>
      </w:r>
    </w:p>
    <w:p>
      <w:pPr>
        <w:widowControl/>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告知书</w:t>
      </w:r>
    </w:p>
    <w:p>
      <w:pPr>
        <w:widowControl/>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lang w:val="en-US" w:eastAsia="zh-CN"/>
        </w:rPr>
      </w:pPr>
      <w:r>
        <w:rPr>
          <w:rFonts w:hint="eastAsia" w:ascii="仿宋_GB2312" w:eastAsia="仿宋_GB2312"/>
          <w:sz w:val="32"/>
          <w:lang w:val="en-US" w:eastAsia="zh-CN"/>
        </w:rPr>
        <w:t>一、行政主体基本信息</w:t>
      </w:r>
    </w:p>
    <w:p>
      <w:pPr>
        <w:widowControl/>
        <w:wordWrap/>
        <w:adjustRightInd/>
        <w:snapToGrid w:val="0"/>
        <w:spacing w:before="0" w:after="0" w:line="360" w:lineRule="auto"/>
        <w:ind w:right="0"/>
        <w:jc w:val="both"/>
        <w:textAlignment w:val="auto"/>
        <w:outlineLvl w:val="9"/>
        <w:rPr>
          <w:rFonts w:hint="eastAsia" w:ascii="仿宋_GB2312" w:eastAsia="仿宋_GB2312"/>
          <w:sz w:val="32"/>
          <w:u w:val="single" w:color="auto"/>
          <w:lang w:val="en-US" w:eastAsia="zh-CN"/>
        </w:rPr>
      </w:pPr>
      <w:r>
        <w:rPr>
          <w:rFonts w:hint="eastAsia" w:ascii="仿宋_GB2312" w:eastAsia="仿宋_GB2312"/>
          <w:sz w:val="32"/>
          <w:lang w:val="en-US" w:eastAsia="zh-CN"/>
        </w:rPr>
        <w:t>名称：</w:t>
      </w:r>
      <w:r>
        <w:rPr>
          <w:rFonts w:hint="eastAsia" w:ascii="仿宋_GB2312" w:eastAsia="仿宋_GB2312"/>
          <w:sz w:val="32"/>
          <w:u w:val="single" w:color="auto"/>
          <w:lang w:val="en-US" w:eastAsia="zh-CN"/>
        </w:rPr>
        <w:t xml:space="preserve"> </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single" w:color="auto"/>
          <w:lang w:val="en-US" w:eastAsia="zh-CN"/>
        </w:rPr>
        <w:t xml:space="preserve"> </w:t>
      </w:r>
    </w:p>
    <w:p>
      <w:pPr>
        <w:widowControl/>
        <w:wordWrap/>
        <w:adjustRightInd/>
        <w:snapToGrid w:val="0"/>
        <w:spacing w:before="0" w:after="0" w:line="360" w:lineRule="auto"/>
        <w:ind w:right="0"/>
        <w:jc w:val="both"/>
        <w:textAlignment w:val="auto"/>
        <w:outlineLvl w:val="9"/>
        <w:rPr>
          <w:rFonts w:hint="eastAsia" w:ascii="仿宋_GB2312" w:eastAsia="仿宋_GB2312"/>
          <w:sz w:val="32"/>
          <w:u w:val="single" w:color="auto"/>
          <w:lang w:val="en-US" w:eastAsia="zh-CN"/>
        </w:rPr>
      </w:pPr>
      <w:r>
        <w:rPr>
          <w:rFonts w:hint="eastAsia" w:ascii="仿宋_GB2312" w:eastAsia="仿宋_GB2312"/>
          <w:sz w:val="32"/>
          <w:lang w:val="en-US" w:eastAsia="zh-CN"/>
        </w:rPr>
        <w:t>联系方式：</w:t>
      </w:r>
      <w:r>
        <w:rPr>
          <w:rFonts w:hint="eastAsia" w:ascii="仿宋_GB2312" w:eastAsia="仿宋_GB2312"/>
          <w:sz w:val="32"/>
          <w:u w:val="single" w:color="auto"/>
          <w:lang w:val="en-US" w:eastAsia="zh-CN"/>
        </w:rPr>
        <w:t xml:space="preserve"> 0951-5189475             </w:t>
      </w:r>
    </w:p>
    <w:p>
      <w:pPr>
        <w:widowControl/>
        <w:numPr>
          <w:ilvl w:val="0"/>
          <w:numId w:val="5"/>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行政主体告知</w:t>
      </w:r>
    </w:p>
    <w:p>
      <w:pPr>
        <w:widowControl/>
        <w:numPr>
          <w:ilvl w:val="0"/>
          <w:numId w:val="6"/>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证明事项名称。</w:t>
      </w:r>
    </w:p>
    <w:p>
      <w:pPr>
        <w:widowControl/>
        <w:numPr>
          <w:ilvl w:val="0"/>
          <w:numId w:val="7"/>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color w:val="auto"/>
          <w:sz w:val="32"/>
          <w:u w:val="none" w:color="auto"/>
          <w:lang w:val="en-US" w:eastAsia="zh-CN"/>
        </w:rPr>
      </w:pPr>
      <w:r>
        <w:rPr>
          <w:rFonts w:hint="eastAsia" w:ascii="仿宋_GB2312" w:eastAsia="仿宋_GB2312"/>
          <w:color w:val="auto"/>
          <w:sz w:val="32"/>
          <w:u w:val="none" w:color="auto"/>
          <w:lang w:val="en-US" w:eastAsia="zh-CN"/>
        </w:rPr>
        <w:t>企业法人营业执照。</w:t>
      </w:r>
    </w:p>
    <w:p>
      <w:pPr>
        <w:widowControl/>
        <w:numPr>
          <w:ilvl w:val="0"/>
          <w:numId w:val="7"/>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color w:val="auto"/>
          <w:sz w:val="32"/>
          <w:u w:val="none" w:color="auto"/>
          <w:lang w:val="en-US" w:eastAsia="zh-CN"/>
        </w:rPr>
      </w:pPr>
      <w:r>
        <w:rPr>
          <w:rFonts w:hint="eastAsia" w:ascii="仿宋_GB2312" w:eastAsia="仿宋_GB2312"/>
          <w:color w:val="auto"/>
          <w:sz w:val="32"/>
          <w:u w:val="none" w:color="auto"/>
          <w:lang w:val="en-US" w:eastAsia="zh-CN"/>
        </w:rPr>
        <w:t>金融监管部门、政府审计部门、会计师事务所出的最新监管报告、审计报告。</w:t>
      </w:r>
    </w:p>
    <w:p>
      <w:pPr>
        <w:widowControl/>
        <w:numPr>
          <w:ilvl w:val="0"/>
          <w:numId w:val="7"/>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color w:val="auto"/>
          <w:sz w:val="32"/>
          <w:u w:val="none" w:color="auto"/>
          <w:lang w:val="en-US" w:eastAsia="zh-CN"/>
        </w:rPr>
        <w:t>金融许可证。</w:t>
      </w:r>
    </w:p>
    <w:p>
      <w:pPr>
        <w:widowControl/>
        <w:numPr>
          <w:ilvl w:val="0"/>
          <w:numId w:val="8"/>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证明事项的证明内容。</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证明申请人具备办理国库集中收付业务资格。</w:t>
      </w:r>
    </w:p>
    <w:p>
      <w:pPr>
        <w:widowControl/>
        <w:numPr>
          <w:ilvl w:val="0"/>
          <w:numId w:val="8"/>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证明事项的设定依据。</w:t>
      </w:r>
    </w:p>
    <w:p>
      <w:pPr>
        <w:widowControl w:val="0"/>
        <w:wordWrap/>
        <w:adjustRightInd/>
        <w:snapToGrid w:val="0"/>
        <w:spacing w:beforeLines="0" w:line="360" w:lineRule="auto"/>
        <w:ind w:left="0" w:leftChars="0" w:right="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《关于全面实行行政许可事项清单管理的通知》（国办发〔2022〕2号）</w:t>
      </w:r>
      <w:r>
        <w:rPr>
          <w:rFonts w:hint="eastAsia" w:eastAsia="仿宋_GB2312" w:cs="Times New Roman"/>
          <w:sz w:val="32"/>
          <w:szCs w:val="32"/>
          <w:lang w:val="en-US" w:eastAsia="zh-CN"/>
        </w:rPr>
        <w:t>附件中的第526项“国库集中收付代理银行资格认定”。</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rPr>
        <w:t>《关于印发&lt;宁夏地方国库集中收付代理银行资格认定实施办法&gt;的通知》（银银发〔2010〕52号）</w:t>
      </w:r>
      <w:r>
        <w:rPr>
          <w:rFonts w:hint="eastAsia" w:ascii="仿宋_GB2312" w:eastAsia="仿宋_GB2312"/>
          <w:sz w:val="32"/>
          <w:u w:val="none" w:color="auto"/>
          <w:lang w:val="en-US" w:eastAsia="zh-CN"/>
        </w:rPr>
        <w:t>“</w:t>
      </w:r>
      <w:r>
        <w:rPr>
          <w:rFonts w:hint="eastAsia" w:ascii="仿宋_GB2312" w:eastAsia="仿宋_GB2312"/>
          <w:sz w:val="32"/>
          <w:szCs w:val="32"/>
        </w:rPr>
        <w:t>商业银行、信用社（以下称申请人）应当具备下列条件：《金融许可证》和</w:t>
      </w:r>
      <w:r>
        <w:rPr>
          <w:rFonts w:hint="eastAsia" w:ascii="仿宋_GB2312" w:eastAsia="仿宋_GB2312"/>
          <w:sz w:val="32"/>
          <w:szCs w:val="32"/>
          <w:lang w:eastAsia="zh-CN"/>
        </w:rPr>
        <w:t>市场监督</w:t>
      </w:r>
      <w:r>
        <w:rPr>
          <w:rFonts w:hint="eastAsia" w:ascii="仿宋_GB2312" w:eastAsia="仿宋_GB2312"/>
          <w:sz w:val="32"/>
          <w:szCs w:val="32"/>
        </w:rPr>
        <w:t>管理部门颁发的营业执照复印件各1份，复印件上需加盖单位公章。</w:t>
      </w:r>
      <w:r>
        <w:rPr>
          <w:rFonts w:hint="eastAsia" w:ascii="仿宋_GB2312" w:eastAsia="仿宋_GB2312"/>
          <w:sz w:val="32"/>
          <w:u w:val="none" w:color="auto"/>
          <w:lang w:val="en-US" w:eastAsia="zh-CN"/>
        </w:rPr>
        <w:t>”</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rPr>
        <w:t>《关于印发&lt;宁夏地方国库集中收付代理银行资格认定实施办法&gt;的通知》（银银发〔2010〕52号）</w:t>
      </w:r>
      <w:r>
        <w:rPr>
          <w:rFonts w:hint="eastAsia" w:ascii="仿宋_GB2312" w:eastAsia="仿宋_GB2312"/>
          <w:sz w:val="32"/>
          <w:u w:val="none" w:color="auto"/>
          <w:lang w:val="en-US" w:eastAsia="zh-CN"/>
        </w:rPr>
        <w:t>“</w:t>
      </w:r>
      <w:r>
        <w:rPr>
          <w:rFonts w:hint="eastAsia" w:ascii="仿宋_GB2312" w:eastAsia="仿宋_GB2312"/>
          <w:sz w:val="32"/>
          <w:szCs w:val="32"/>
        </w:rPr>
        <w:t>商业银行、信用社（以下称申请人）应当具备下列条件：金融业务经营规范，申请前两年内无重大金融、财经和代理国库业务违法行为。</w:t>
      </w:r>
      <w:r>
        <w:rPr>
          <w:rFonts w:hint="eastAsia" w:ascii="仿宋_GB2312" w:eastAsia="仿宋_GB2312"/>
          <w:sz w:val="32"/>
          <w:szCs w:val="32"/>
          <w:lang w:eastAsia="zh-CN"/>
        </w:rPr>
        <w:t>”</w:t>
      </w:r>
    </w:p>
    <w:p>
      <w:pPr>
        <w:widowControl/>
        <w:numPr>
          <w:ilvl w:val="0"/>
          <w:numId w:val="9"/>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告知承诺制的适用对象。</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可自主选择是否采用告知承诺代替证明。申请人如不愿意承诺或者无法承诺的，应当提交本证明事项所需证明材料。存在较严重的不良信用记录或者存在曾作出虚假承诺等情形的申请人，在信用修复前不得申请适用告知承诺制。</w:t>
      </w:r>
    </w:p>
    <w:p>
      <w:pPr>
        <w:widowControl/>
        <w:numPr>
          <w:ilvl w:val="0"/>
          <w:numId w:val="9"/>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承诺方式及法律效力。</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本证明事项采用书面承诺方式，申请人愿意作出承诺的，应当向</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none" w:color="auto"/>
          <w:lang w:val="en-US" w:eastAsia="zh-CN"/>
        </w:rPr>
        <w:t>提交申请人签字或者加盖公章的承诺书原件。本证明事项必须由申请人作出承诺，不可代为承诺。</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申请人书面承诺已经符合告知的条件、要求，并愿意承担不实承诺的法律责任的，</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none" w:color="auto"/>
          <w:lang w:val="en-US" w:eastAsia="zh-CN"/>
        </w:rPr>
        <w:t>不再要求申请人提交本证明事项所需证明材料，依据书面承诺办理相关事项。申请人在行政事项办结前，有合理理由的，可以撤回承诺申请，撤回承诺申请后申请人应当提交本证明所需证明材料。</w:t>
      </w:r>
    </w:p>
    <w:p>
      <w:pPr>
        <w:widowControl/>
        <w:numPr>
          <w:ilvl w:val="0"/>
          <w:numId w:val="9"/>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行政主体的核查权力。</w:t>
      </w:r>
    </w:p>
    <w:p>
      <w:pPr>
        <w:widowControl/>
        <w:numPr>
          <w:ilvl w:val="0"/>
          <w:numId w:val="0"/>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申请人选择采用告知承诺方式办理行政事项的，</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none" w:color="auto"/>
          <w:lang w:val="en-US" w:eastAsia="zh-CN"/>
        </w:rPr>
        <w:t>有权根据实际情况，采用书面核查、网络核验、实地调查等方式，对申请人承诺的真实性进行核查。</w:t>
      </w:r>
    </w:p>
    <w:p>
      <w:pPr>
        <w:widowControl/>
        <w:numPr>
          <w:ilvl w:val="0"/>
          <w:numId w:val="9"/>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承诺书公开情况。</w:t>
      </w:r>
    </w:p>
    <w:p>
      <w:pPr>
        <w:widowControl/>
        <w:numPr>
          <w:ilvl w:val="0"/>
          <w:numId w:val="0"/>
        </w:numPr>
        <w:wordWrap/>
        <w:adjustRightInd/>
        <w:snapToGrid w:val="0"/>
        <w:spacing w:beforeLines="0" w:line="360" w:lineRule="auto"/>
        <w:ind w:leftChars="200" w:right="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是否公开申请人提交的承诺书：</w:t>
      </w:r>
    </w:p>
    <w:p>
      <w:pPr>
        <w:widowControl/>
        <w:numPr>
          <w:ilvl w:val="0"/>
          <w:numId w:val="0"/>
        </w:numPr>
        <w:wordWrap/>
        <w:adjustRightInd/>
        <w:snapToGrid w:val="0"/>
        <w:spacing w:beforeLines="0" w:line="360" w:lineRule="auto"/>
        <w:ind w:left="420" w:leftChars="200" w:right="0" w:firstLine="640" w:firstLineChars="200"/>
        <w:jc w:val="both"/>
        <w:textAlignment w:val="auto"/>
        <w:outlineLvl w:val="9"/>
        <w:rPr>
          <w:rFonts w:hint="eastAsia" w:ascii="仿宋_GB2312" w:eastAsia="仿宋_GB2312"/>
          <w:sz w:val="32"/>
          <w:u w:val="none" w:color="auto"/>
          <w:lang w:val="en-US" w:eastAsia="zh-CN"/>
        </w:rPr>
      </w:pPr>
      <w:r>
        <w:rPr>
          <w:rFonts w:ascii="Times New Roman" w:hAnsi="Times New Roman" w:eastAsia="宋体" w:cs="Times New Roman"/>
          <w:kern w:val="2"/>
          <w:sz w:val="32"/>
          <w:lang w:val="en-US" w:eastAsia="zh-CN" w:bidi="ar-SA"/>
        </w:rPr>
        <w:pict>
          <v:shape id="文本框 2" o:spid="_x0000_s1028" o:spt="202" type="#_x0000_t202" style="position:absolute;left:0pt;margin-left:68.8pt;margin-top:1.4pt;height:16.5pt;width:13.8pt;z-index:251659264;mso-width-relative:page;mso-height-relative:page;" fillcolor="#FFFFFF" filled="t" stroked="t" coordsize="21600,21600">
            <v:path/>
            <v:fill on="t" color2="#FFFFFF" focussize="0,0"/>
            <v:stroke color="#000000" joinstyle="miter"/>
            <v:imagedata o:title=""/>
            <o:lock v:ext="edit" aspectratio="f"/>
            <v:textbox>
              <w:txbxContent>
                <w:p/>
              </w:txbxContent>
            </v:textbox>
          </v:shape>
        </w:pict>
      </w:r>
      <w:r>
        <w:rPr>
          <w:rFonts w:hint="eastAsia" w:ascii="仿宋_GB2312" w:eastAsia="仿宋_GB2312"/>
          <w:sz w:val="32"/>
          <w:u w:val="none" w:color="auto"/>
          <w:lang w:val="en-US" w:eastAsia="zh-CN"/>
        </w:rPr>
        <w:t>是  ，公开范围：</w:t>
      </w: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r>
        <w:rPr>
          <w:rFonts w:hint="eastAsia" w:ascii="仿宋_GB2312" w:eastAsia="仿宋_GB2312"/>
          <w:sz w:val="32"/>
          <w:u w:val="none" w:color="auto"/>
          <w:lang w:val="en-US" w:eastAsia="zh-CN"/>
        </w:rPr>
        <w:t>官方网站、银川市金凤区中海路44号。</w:t>
      </w:r>
    </w:p>
    <w:p>
      <w:pPr>
        <w:widowControl/>
        <w:numPr>
          <w:ilvl w:val="0"/>
          <w:numId w:val="0"/>
        </w:numPr>
        <w:wordWrap/>
        <w:adjustRightInd/>
        <w:snapToGrid w:val="0"/>
        <w:spacing w:beforeLines="0" w:line="360" w:lineRule="auto"/>
        <w:ind w:leftChars="200" w:right="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公开时间：    年    月    日至    年    月    日。</w:t>
      </w:r>
    </w:p>
    <w:p>
      <w:pPr>
        <w:widowControl/>
        <w:numPr>
          <w:ilvl w:val="0"/>
          <w:numId w:val="0"/>
        </w:numPr>
        <w:wordWrap/>
        <w:adjustRightInd/>
        <w:snapToGrid w:val="0"/>
        <w:spacing w:beforeLines="0" w:line="360" w:lineRule="auto"/>
        <w:ind w:left="420" w:leftChars="200" w:right="0" w:firstLine="640" w:firstLineChars="200"/>
        <w:jc w:val="both"/>
        <w:textAlignment w:val="auto"/>
        <w:outlineLvl w:val="9"/>
        <w:rPr>
          <w:rFonts w:hint="eastAsia" w:ascii="仿宋_GB2312" w:eastAsia="仿宋_GB2312"/>
          <w:sz w:val="32"/>
          <w:u w:val="none" w:color="auto"/>
          <w:lang w:val="en-US" w:eastAsia="zh-CN"/>
        </w:rPr>
      </w:pPr>
      <w:r>
        <w:rPr>
          <w:rFonts w:ascii="Times New Roman" w:hAnsi="Times New Roman" w:eastAsia="宋体" w:cs="Times New Roman"/>
          <w:kern w:val="2"/>
          <w:sz w:val="32"/>
          <w:lang w:val="en-US" w:eastAsia="zh-CN" w:bidi="ar-SA"/>
        </w:rPr>
        <w:pict>
          <v:shape id="Quad Arrow 5" o:spid="_x0000_s1029" o:spt="202" type="#_x0000_t202" style="position:absolute;left:0pt;margin-left:69.95pt;margin-top:3.8pt;height:15.3pt;width:13.8pt;z-index:251660288;mso-width-relative:page;mso-height-relative:page;" fillcolor="#FFFFFF" filled="t" stroked="t" coordsize="21600,21600">
            <v:path/>
            <v:fill on="t" color2="#FFFFFF" focussize="0,0"/>
            <v:stroke color="#000000" joinstyle="miter"/>
            <v:imagedata o:title=""/>
            <o:lock v:ext="edit" aspectratio="f"/>
            <v:textbox>
              <w:txbxContent>
                <w:p/>
              </w:txbxContent>
            </v:textbox>
          </v:shape>
        </w:pict>
      </w:r>
      <w:r>
        <w:rPr>
          <w:rFonts w:hint="eastAsia" w:ascii="仿宋_GB2312" w:eastAsia="仿宋_GB2312"/>
          <w:sz w:val="32"/>
          <w:u w:val="none" w:color="auto"/>
          <w:lang w:val="en-US" w:eastAsia="zh-CN"/>
        </w:rPr>
        <w:t>否</w:t>
      </w:r>
    </w:p>
    <w:p>
      <w:pPr>
        <w:widowControl/>
        <w:numPr>
          <w:ilvl w:val="0"/>
          <w:numId w:val="9"/>
        </w:numPr>
        <w:wordWrap/>
        <w:adjustRightInd/>
        <w:snapToGrid w:val="0"/>
        <w:spacing w:beforeLines="0" w:line="360" w:lineRule="auto"/>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不实承诺的法律责任。</w:t>
      </w:r>
    </w:p>
    <w:p>
      <w:pPr>
        <w:widowControl/>
        <w:numPr>
          <w:ilvl w:val="0"/>
          <w:numId w:val="0"/>
        </w:numPr>
        <w:wordWrap/>
        <w:adjustRightInd/>
        <w:snapToGrid w:val="0"/>
        <w:spacing w:beforeLines="0" w:line="360" w:lineRule="auto"/>
        <w:ind w:left="420" w:leftChars="20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对承诺不实等违法违规行为，</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none" w:color="auto"/>
          <w:lang w:val="en-US" w:eastAsia="zh-CN"/>
        </w:rPr>
        <w:t>有权依法作出如下处理：终止办理国库集中收付业务代理银行资格认定、撤销相关行政决定、依据相关规定作出处罚等。</w:t>
      </w:r>
    </w:p>
    <w:p>
      <w:pPr>
        <w:widowControl/>
        <w:numPr>
          <w:ilvl w:val="0"/>
          <w:numId w:val="0"/>
        </w:numPr>
        <w:wordWrap/>
        <w:adjustRightInd/>
        <w:snapToGrid w:val="0"/>
        <w:spacing w:beforeLines="0" w:line="360" w:lineRule="auto"/>
        <w:ind w:left="420" w:leftChars="20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申请人因承诺不实受到行政处罚的相关信息将被依法加载至金融信用信息基础数据库。</w:t>
      </w:r>
    </w:p>
    <w:p>
      <w:pPr>
        <w:widowControl/>
        <w:numPr>
          <w:ilvl w:val="0"/>
          <w:numId w:val="0"/>
        </w:numPr>
        <w:wordWrap/>
        <w:adjustRightInd/>
        <w:snapToGrid w:val="0"/>
        <w:spacing w:beforeLines="0" w:line="360" w:lineRule="auto"/>
        <w:ind w:left="420" w:leftChars="200" w:right="0" w:firstLine="640" w:firstLineChars="200"/>
        <w:jc w:val="both"/>
        <w:textAlignment w:val="auto"/>
        <w:outlineLvl w:val="9"/>
        <w:rPr>
          <w:rFonts w:hint="eastAsia" w:ascii="仿宋_GB2312" w:eastAsia="仿宋_GB2312"/>
          <w:sz w:val="32"/>
          <w:u w:val="none" w:color="auto"/>
          <w:lang w:val="en-US" w:eastAsia="zh-CN"/>
        </w:rPr>
      </w:pPr>
    </w:p>
    <w:p>
      <w:pPr>
        <w:widowControl/>
        <w:numPr>
          <w:ilvl w:val="0"/>
          <w:numId w:val="0"/>
        </w:numPr>
        <w:wordWrap/>
        <w:adjustRightInd/>
        <w:snapToGrid w:val="0"/>
        <w:spacing w:beforeLines="0" w:line="360" w:lineRule="auto"/>
        <w:ind w:left="420" w:leftChars="200" w:right="0" w:firstLine="640" w:firstLineChars="200"/>
        <w:jc w:val="righ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中国人民银行</w:t>
      </w:r>
      <w:r>
        <w:rPr>
          <w:rFonts w:hint="eastAsia" w:eastAsia="仿宋_GB2312" w:cs="Times New Roman"/>
          <w:color w:val="auto"/>
          <w:sz w:val="32"/>
          <w:szCs w:val="32"/>
          <w:lang w:val="en-US" w:eastAsia="zh-CN"/>
        </w:rPr>
        <w:t>宁夏回族自治区分</w:t>
      </w:r>
      <w:r>
        <w:rPr>
          <w:rFonts w:hint="default" w:ascii="Times New Roman" w:hAnsi="Times New Roman" w:eastAsia="仿宋_GB2312" w:cs="Times New Roman"/>
          <w:color w:val="auto"/>
          <w:sz w:val="32"/>
          <w:szCs w:val="32"/>
          <w:lang w:val="en-US"/>
        </w:rPr>
        <w:t>行</w:t>
      </w:r>
    </w:p>
    <w:p>
      <w:pPr>
        <w:widowControl/>
        <w:numPr>
          <w:ilvl w:val="0"/>
          <w:numId w:val="0"/>
        </w:numPr>
        <w:wordWrap/>
        <w:adjustRightInd/>
        <w:snapToGrid w:val="0"/>
        <w:spacing w:beforeLines="0" w:line="360" w:lineRule="auto"/>
        <w:ind w:right="0" w:firstLine="5120" w:firstLineChars="1600"/>
        <w:jc w:val="both"/>
        <w:textAlignment w:val="auto"/>
        <w:outlineLvl w:val="9"/>
        <w:rPr>
          <w:rFonts w:hint="eastAsia" w:ascii="仿宋_GB2312" w:eastAsia="仿宋_GB2312"/>
          <w:sz w:val="32"/>
          <w:u w:val="none" w:color="auto"/>
          <w:lang w:val="en-US" w:eastAsia="zh-CN"/>
        </w:rPr>
      </w:pPr>
      <w:r>
        <w:rPr>
          <w:rFonts w:hint="eastAsia" w:eastAsia="仿宋_GB2312" w:cs="Times New Roman"/>
          <w:color w:val="auto"/>
          <w:sz w:val="32"/>
          <w:szCs w:val="32"/>
          <w:lang w:val="en-US" w:eastAsia="zh-CN"/>
        </w:rPr>
        <w:t>行政许可专用章</w:t>
      </w:r>
    </w:p>
    <w:p>
      <w:pPr>
        <w:widowControl/>
        <w:numPr>
          <w:ilvl w:val="0"/>
          <w:numId w:val="0"/>
        </w:numPr>
        <w:wordWrap/>
        <w:adjustRightInd/>
        <w:snapToGrid/>
        <w:spacing w:line="600" w:lineRule="exact"/>
        <w:ind w:left="420" w:leftChars="200" w:right="0" w:firstLine="640" w:firstLineChars="200"/>
        <w:jc w:val="center"/>
        <w:textAlignment w:val="auto"/>
        <w:outlineLvl w:val="9"/>
        <w:rPr>
          <w:rFonts w:hint="eastAsia" w:eastAsia="黑体" w:cs="Times New Roman"/>
          <w:b/>
          <w:bCs/>
          <w:kern w:val="0"/>
          <w:sz w:val="24"/>
          <w:lang w:val="en-US" w:eastAsia="zh-CN"/>
        </w:rPr>
      </w:pPr>
      <w:r>
        <w:rPr>
          <w:rFonts w:hint="eastAsia" w:ascii="仿宋_GB2312" w:eastAsia="仿宋_GB2312"/>
          <w:sz w:val="32"/>
          <w:u w:val="none" w:color="auto"/>
          <w:lang w:val="en-US" w:eastAsia="zh-CN"/>
        </w:rPr>
        <w:t xml:space="preserve">                           年   月    日</w:t>
      </w:r>
    </w:p>
    <w:p>
      <w:pPr>
        <w:widowControl/>
        <w:numPr>
          <w:ilvl w:val="0"/>
          <w:numId w:val="0"/>
        </w:numPr>
        <w:wordWrap/>
        <w:adjustRightInd/>
        <w:snapToGrid/>
        <w:spacing w:line="600" w:lineRule="exact"/>
        <w:ind w:right="0"/>
        <w:jc w:val="both"/>
        <w:textAlignment w:val="auto"/>
        <w:outlineLvl w:val="9"/>
        <w:rPr>
          <w:rFonts w:hint="eastAsia" w:eastAsia="黑体" w:cs="Times New Roman"/>
          <w:b/>
          <w:bCs/>
          <w:kern w:val="0"/>
          <w:sz w:val="24"/>
          <w:lang w:val="en-US" w:eastAsia="zh-CN"/>
        </w:rPr>
      </w:pPr>
    </w:p>
    <w:p>
      <w:pPr>
        <w:widowControl/>
        <w:wordWrap/>
        <w:adjustRightInd/>
        <w:snapToGrid/>
        <w:spacing w:line="240" w:lineRule="auto"/>
        <w:ind w:left="0" w:leftChars="0" w:right="0" w:firstLine="0" w:firstLineChars="0"/>
        <w:jc w:val="both"/>
        <w:textAlignment w:val="auto"/>
        <w:outlineLvl w:val="9"/>
        <w:rPr>
          <w:rFonts w:hint="eastAsia" w:eastAsia="黑体" w:cs="Times New Roman"/>
          <w:b/>
          <w:bCs/>
          <w:kern w:val="0"/>
          <w:sz w:val="24"/>
          <w:lang w:val="en-US" w:eastAsia="zh-CN"/>
        </w:rPr>
      </w:pPr>
    </w:p>
    <w:p>
      <w:pPr>
        <w:widowControl/>
        <w:wordWrap/>
        <w:adjustRightInd/>
        <w:snapToGrid/>
        <w:spacing w:line="240" w:lineRule="auto"/>
        <w:ind w:left="0" w:leftChars="0" w:right="0" w:firstLine="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rPr>
        <w:t>附件4</w:t>
      </w:r>
    </w:p>
    <w:p>
      <w:pPr>
        <w:widowControl/>
        <w:numPr>
          <w:ilvl w:val="0"/>
          <w:numId w:val="0"/>
        </w:numPr>
        <w:wordWrap/>
        <w:adjustRightInd/>
        <w:snapToGrid/>
        <w:spacing w:before="0" w:after="0" w:line="600" w:lineRule="exact"/>
        <w:ind w:left="420" w:leftChars="200" w:right="0" w:firstLine="880" w:firstLineChars="20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承诺书</w:t>
      </w:r>
    </w:p>
    <w:p>
      <w:pPr>
        <w:widowControl/>
        <w:numPr>
          <w:ilvl w:val="0"/>
          <w:numId w:val="1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申请人基本信息</w:t>
      </w:r>
    </w:p>
    <w:p>
      <w:pPr>
        <w:widowControl/>
        <w:numPr>
          <w:ilvl w:val="0"/>
          <w:numId w:val="0"/>
        </w:numPr>
        <w:wordWrap/>
        <w:adjustRightInd/>
        <w:snapToGrid/>
        <w:spacing w:line="600" w:lineRule="exact"/>
        <w:ind w:leftChars="200" w:right="0"/>
        <w:jc w:val="both"/>
        <w:textAlignment w:val="auto"/>
        <w:outlineLvl w:val="9"/>
        <w:rPr>
          <w:rFonts w:hint="eastAsia" w:ascii="仿宋_GB2312" w:eastAsia="仿宋_GB2312"/>
          <w:sz w:val="32"/>
          <w:u w:val="single" w:color="auto"/>
          <w:lang w:val="en-US" w:eastAsia="zh-CN"/>
        </w:rPr>
      </w:pPr>
      <w:r>
        <w:rPr>
          <w:rFonts w:hint="eastAsia" w:ascii="仿宋_GB2312" w:eastAsia="仿宋_GB2312"/>
          <w:sz w:val="32"/>
          <w:u w:val="none" w:color="auto"/>
          <w:lang w:val="en-US" w:eastAsia="zh-CN"/>
        </w:rPr>
        <w:t>名称（姓名）：</w:t>
      </w:r>
      <w:r>
        <w:rPr>
          <w:rFonts w:hint="eastAsia" w:ascii="仿宋_GB2312" w:eastAsia="仿宋_GB2312"/>
          <w:sz w:val="32"/>
          <w:u w:val="single" w:color="auto"/>
          <w:lang w:val="en-US" w:eastAsia="zh-CN"/>
        </w:rPr>
        <w:t xml:space="preserve">             </w:t>
      </w:r>
      <w:r>
        <w:rPr>
          <w:rFonts w:hint="eastAsia" w:ascii="仿宋_GB2312" w:eastAsia="仿宋_GB2312"/>
          <w:sz w:val="32"/>
          <w:u w:val="none" w:color="auto"/>
          <w:lang w:val="en-US" w:eastAsia="zh-CN"/>
        </w:rPr>
        <w:t xml:space="preserve"> 联系方式：</w:t>
      </w:r>
      <w:r>
        <w:rPr>
          <w:rFonts w:hint="eastAsia" w:ascii="仿宋_GB2312" w:eastAsia="仿宋_GB2312"/>
          <w:sz w:val="32"/>
          <w:u w:val="single" w:color="auto"/>
          <w:lang w:val="en-US" w:eastAsia="zh-CN"/>
        </w:rPr>
        <w:t xml:space="preserve">             </w:t>
      </w:r>
    </w:p>
    <w:p>
      <w:pPr>
        <w:widowControl/>
        <w:numPr>
          <w:ilvl w:val="0"/>
          <w:numId w:val="0"/>
        </w:numPr>
        <w:wordWrap/>
        <w:adjustRightInd/>
        <w:snapToGrid/>
        <w:spacing w:line="600" w:lineRule="exact"/>
        <w:ind w:leftChars="200" w:right="0"/>
        <w:jc w:val="both"/>
        <w:textAlignment w:val="auto"/>
        <w:outlineLvl w:val="9"/>
        <w:rPr>
          <w:rFonts w:hint="eastAsia" w:ascii="仿宋_GB2312" w:eastAsia="仿宋_GB2312"/>
          <w:sz w:val="32"/>
          <w:u w:val="single" w:color="auto"/>
          <w:lang w:val="en-US" w:eastAsia="zh-CN"/>
        </w:rPr>
      </w:pPr>
      <w:r>
        <w:rPr>
          <w:rFonts w:hint="eastAsia" w:ascii="仿宋_GB2312" w:eastAsia="仿宋_GB2312"/>
          <w:sz w:val="32"/>
          <w:u w:val="none" w:color="auto"/>
          <w:lang w:val="en-US" w:eastAsia="zh-CN"/>
        </w:rPr>
        <w:t>地址：</w:t>
      </w:r>
      <w:r>
        <w:rPr>
          <w:rFonts w:hint="eastAsia" w:ascii="仿宋_GB2312" w:eastAsia="仿宋_GB2312"/>
          <w:sz w:val="32"/>
          <w:u w:val="single" w:color="auto"/>
          <w:lang w:val="en-US" w:eastAsia="zh-CN"/>
        </w:rPr>
        <w:t xml:space="preserve">                                             </w:t>
      </w:r>
    </w:p>
    <w:p>
      <w:pPr>
        <w:widowControl/>
        <w:numPr>
          <w:ilvl w:val="0"/>
          <w:numId w:val="0"/>
        </w:numPr>
        <w:wordWrap/>
        <w:adjustRightInd/>
        <w:snapToGrid/>
        <w:spacing w:line="600" w:lineRule="exact"/>
        <w:ind w:leftChars="200" w:right="0"/>
        <w:jc w:val="both"/>
        <w:textAlignment w:val="auto"/>
        <w:outlineLvl w:val="9"/>
        <w:rPr>
          <w:rFonts w:hint="eastAsia" w:ascii="仿宋_GB2312" w:eastAsia="仿宋_GB2312"/>
          <w:sz w:val="32"/>
          <w:u w:val="single" w:color="auto"/>
          <w:lang w:val="en-US" w:eastAsia="zh-CN"/>
        </w:rPr>
      </w:pPr>
      <w:r>
        <w:rPr>
          <w:rFonts w:hint="eastAsia" w:ascii="仿宋_GB2312" w:eastAsia="仿宋_GB2312"/>
          <w:sz w:val="32"/>
          <w:u w:val="none" w:color="auto"/>
          <w:lang w:val="en-US" w:eastAsia="zh-CN"/>
        </w:rPr>
        <w:t>证件类型及编号（或者统一社会信用代码）：</w:t>
      </w:r>
      <w:r>
        <w:rPr>
          <w:rFonts w:hint="eastAsia" w:ascii="仿宋_GB2312" w:eastAsia="仿宋_GB2312"/>
          <w:sz w:val="32"/>
          <w:u w:val="single" w:color="auto"/>
          <w:lang w:val="en-US" w:eastAsia="zh-CN"/>
        </w:rPr>
        <w:t xml:space="preserve">            </w:t>
      </w:r>
    </w:p>
    <w:p>
      <w:pPr>
        <w:widowControl/>
        <w:numPr>
          <w:ilvl w:val="0"/>
          <w:numId w:val="1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申请人承诺</w:t>
      </w:r>
    </w:p>
    <w:p>
      <w:pPr>
        <w:widowControl/>
        <w:numPr>
          <w:ilvl w:val="0"/>
          <w:numId w:val="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（一）已经知晓</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none" w:color="auto"/>
          <w:lang w:val="en-US" w:eastAsia="zh-CN"/>
        </w:rPr>
        <w:t>告知的全部内容。</w:t>
      </w:r>
    </w:p>
    <w:p>
      <w:pPr>
        <w:widowControl/>
        <w:numPr>
          <w:ilvl w:val="0"/>
          <w:numId w:val="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二）自身已符合行政机关告知的条件、要求，具体情况如下：所承诺的营业执照；金融监管部门、审计部门、会计师事务所作出的最新监管报告、审计报告；金融许可证均真实有效。申请人作出的上述承诺属实，不存在虚假不实之处。</w:t>
      </w:r>
    </w:p>
    <w:p>
      <w:pPr>
        <w:widowControl/>
        <w:numPr>
          <w:ilvl w:val="0"/>
          <w:numId w:val="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（三）本告知承诺书上填写的基本信息真实、准确。</w:t>
      </w:r>
    </w:p>
    <w:p>
      <w:pPr>
        <w:widowControl/>
        <w:numPr>
          <w:ilvl w:val="0"/>
          <w:numId w:val="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（四）愿意承担不实承诺的法律责任。</w:t>
      </w:r>
    </w:p>
    <w:p>
      <w:pPr>
        <w:widowControl/>
        <w:numPr>
          <w:ilvl w:val="0"/>
          <w:numId w:val="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（五）愿意配合</w:t>
      </w:r>
      <w:r>
        <w:rPr>
          <w:rFonts w:hint="default" w:ascii="Times New Roman" w:hAnsi="Times New Roman" w:eastAsia="仿宋_GB2312" w:cs="Times New Roman"/>
          <w:color w:val="auto"/>
          <w:sz w:val="32"/>
          <w:szCs w:val="32"/>
          <w:u w:val="single"/>
          <w:lang w:val="en-US"/>
        </w:rPr>
        <w:t>中国人民银行</w:t>
      </w:r>
      <w:r>
        <w:rPr>
          <w:rFonts w:hint="eastAsia" w:eastAsia="仿宋_GB2312" w:cs="Times New Roman"/>
          <w:color w:val="auto"/>
          <w:sz w:val="32"/>
          <w:szCs w:val="32"/>
          <w:u w:val="single"/>
          <w:lang w:val="en-US" w:eastAsia="zh-CN"/>
        </w:rPr>
        <w:t>宁夏回族自治区分</w:t>
      </w:r>
      <w:r>
        <w:rPr>
          <w:rFonts w:hint="default" w:ascii="Times New Roman" w:hAnsi="Times New Roman" w:eastAsia="仿宋_GB2312" w:cs="Times New Roman"/>
          <w:color w:val="auto"/>
          <w:sz w:val="32"/>
          <w:szCs w:val="32"/>
          <w:u w:val="single"/>
          <w:lang w:val="en-US"/>
        </w:rPr>
        <w:t>行</w:t>
      </w:r>
      <w:r>
        <w:rPr>
          <w:rFonts w:hint="eastAsia" w:ascii="仿宋_GB2312" w:eastAsia="仿宋_GB2312"/>
          <w:sz w:val="32"/>
          <w:u w:val="none" w:color="auto"/>
          <w:lang w:val="en-US" w:eastAsia="zh-CN"/>
        </w:rPr>
        <w:t>对申请人承诺内容等相关信息的核查工作。</w:t>
      </w:r>
    </w:p>
    <w:p>
      <w:pPr>
        <w:widowControl/>
        <w:numPr>
          <w:ilvl w:val="0"/>
          <w:numId w:val="0"/>
        </w:numPr>
        <w:wordWrap/>
        <w:adjustRightInd/>
        <w:snapToGrid/>
        <w:spacing w:line="600" w:lineRule="exact"/>
        <w:ind w:left="0" w:leftChars="0" w:right="0" w:firstLine="640" w:firstLineChars="200"/>
        <w:jc w:val="both"/>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（六）上述承诺是申请人真实的意思表示。</w:t>
      </w:r>
    </w:p>
    <w:p>
      <w:pPr>
        <w:widowControl/>
        <w:numPr>
          <w:ilvl w:val="0"/>
          <w:numId w:val="0"/>
        </w:numPr>
        <w:wordWrap/>
        <w:adjustRightInd/>
        <w:snapToGrid/>
        <w:spacing w:line="600" w:lineRule="exact"/>
        <w:ind w:right="0"/>
        <w:jc w:val="both"/>
        <w:textAlignment w:val="auto"/>
        <w:outlineLvl w:val="9"/>
        <w:rPr>
          <w:rFonts w:hint="eastAsia" w:ascii="仿宋_GB2312" w:eastAsia="仿宋_GB2312"/>
          <w:sz w:val="32"/>
          <w:u w:val="none" w:color="auto"/>
          <w:lang w:val="en-US" w:eastAsia="zh-CN"/>
        </w:rPr>
      </w:pPr>
    </w:p>
    <w:p>
      <w:pPr>
        <w:widowControl/>
        <w:numPr>
          <w:ilvl w:val="0"/>
          <w:numId w:val="0"/>
        </w:numPr>
        <w:wordWrap/>
        <w:adjustRightInd/>
        <w:snapToGrid/>
        <w:spacing w:line="600" w:lineRule="exact"/>
        <w:ind w:right="0"/>
        <w:jc w:val="both"/>
        <w:textAlignment w:val="auto"/>
        <w:outlineLvl w:val="9"/>
        <w:rPr>
          <w:rFonts w:hint="eastAsia" w:ascii="仿宋_GB2312" w:eastAsia="仿宋_GB2312"/>
          <w:sz w:val="32"/>
          <w:u w:val="none" w:color="auto"/>
          <w:lang w:val="en-US" w:eastAsia="zh-CN"/>
        </w:rPr>
      </w:pPr>
    </w:p>
    <w:p>
      <w:pPr>
        <w:widowControl/>
        <w:numPr>
          <w:ilvl w:val="0"/>
          <w:numId w:val="0"/>
        </w:numPr>
        <w:wordWrap/>
        <w:adjustRightInd/>
        <w:snapToGrid/>
        <w:spacing w:line="600" w:lineRule="exact"/>
        <w:ind w:right="0"/>
        <w:jc w:val="right"/>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（申请人签名或者公章）</w:t>
      </w:r>
    </w:p>
    <w:p>
      <w:pPr>
        <w:widowControl/>
        <w:numPr>
          <w:ilvl w:val="0"/>
          <w:numId w:val="0"/>
        </w:numPr>
        <w:wordWrap/>
        <w:adjustRightInd/>
        <w:snapToGrid/>
        <w:spacing w:line="600" w:lineRule="exact"/>
        <w:ind w:left="420" w:leftChars="200" w:right="0" w:firstLine="4160" w:firstLineChars="1300"/>
        <w:jc w:val="center"/>
        <w:textAlignment w:val="auto"/>
        <w:outlineLvl w:val="9"/>
        <w:rPr>
          <w:rFonts w:hint="eastAsia" w:ascii="仿宋_GB2312" w:eastAsia="仿宋_GB2312"/>
          <w:sz w:val="32"/>
          <w:u w:val="none" w:color="auto"/>
          <w:lang w:val="en-US" w:eastAsia="zh-CN"/>
        </w:rPr>
      </w:pPr>
      <w:r>
        <w:rPr>
          <w:rFonts w:hint="eastAsia" w:ascii="仿宋_GB2312" w:eastAsia="仿宋_GB2312"/>
          <w:sz w:val="32"/>
          <w:u w:val="none" w:color="auto"/>
          <w:lang w:val="en-US" w:eastAsia="zh-CN"/>
        </w:rPr>
        <w:t xml:space="preserve"> 年    月    日    </w:t>
      </w:r>
    </w:p>
    <w:p>
      <w:pPr>
        <w:ind w:firstLine="0" w:firstLineChars="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附件5</w:t>
      </w:r>
    </w:p>
    <w:p>
      <w:pPr>
        <w:ind w:firstLine="0" w:firstLineChars="0"/>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常见错误示例</w:t>
      </w:r>
    </w:p>
    <w:p>
      <w:pPr>
        <w:ind w:firstLine="643" w:firstLineChars="200"/>
        <w:rPr>
          <w:rFonts w:hint="eastAsia" w:eastAsia="仿宋_GB2312" w:cs="Times New Roman"/>
          <w:sz w:val="32"/>
          <w:szCs w:val="32"/>
          <w:lang w:val="en-US" w:eastAsia="zh-CN"/>
        </w:rPr>
      </w:pPr>
      <w:r>
        <w:rPr>
          <w:rFonts w:hint="eastAsia" w:eastAsia="仿宋_GB2312" w:cs="Times New Roman"/>
          <w:b/>
          <w:bCs/>
          <w:sz w:val="32"/>
          <w:szCs w:val="32"/>
          <w:lang w:val="en-US" w:eastAsia="zh-CN"/>
        </w:rPr>
        <w:t>1.申请材料不加盖公章或只加盖部门公章。</w:t>
      </w:r>
      <w:r>
        <w:rPr>
          <w:rFonts w:hint="eastAsia" w:eastAsia="仿宋_GB2312" w:cs="Times New Roman"/>
          <w:b w:val="0"/>
          <w:bCs w:val="0"/>
          <w:sz w:val="32"/>
          <w:szCs w:val="32"/>
          <w:lang w:val="en-US" w:eastAsia="zh-CN"/>
        </w:rPr>
        <w:t>根据</w:t>
      </w:r>
      <w:r>
        <w:rPr>
          <w:rFonts w:hint="default" w:ascii="Times New Roman" w:hAnsi="Times New Roman" w:eastAsia="仿宋_GB2312" w:cs="Times New Roman"/>
          <w:sz w:val="32"/>
          <w:szCs w:val="32"/>
          <w:lang w:val="en-US"/>
        </w:rPr>
        <w:t>《关于印发&lt;宁夏地方国库集中收付代理银行资格认定实施办法&gt;的通知》（银银发〔2010〕52号）</w:t>
      </w:r>
      <w:r>
        <w:rPr>
          <w:rFonts w:hint="eastAsia" w:eastAsia="仿宋_GB2312" w:cs="Times New Roman"/>
          <w:sz w:val="32"/>
          <w:szCs w:val="32"/>
          <w:lang w:val="en-US" w:eastAsia="zh-CN"/>
        </w:rPr>
        <w:t>规定“</w:t>
      </w:r>
      <w:r>
        <w:rPr>
          <w:rFonts w:hint="eastAsia" w:ascii="仿宋_GB2312" w:eastAsia="仿宋_GB2312"/>
          <w:sz w:val="32"/>
          <w:szCs w:val="32"/>
        </w:rPr>
        <w:t>《金融许可证》和</w:t>
      </w:r>
      <w:r>
        <w:rPr>
          <w:rFonts w:hint="eastAsia" w:ascii="仿宋_GB2312" w:eastAsia="仿宋_GB2312"/>
          <w:sz w:val="32"/>
          <w:szCs w:val="32"/>
          <w:lang w:eastAsia="zh-CN"/>
        </w:rPr>
        <w:t>市场监督</w:t>
      </w:r>
      <w:r>
        <w:rPr>
          <w:rFonts w:hint="eastAsia" w:ascii="仿宋_GB2312" w:eastAsia="仿宋_GB2312"/>
          <w:sz w:val="32"/>
          <w:szCs w:val="32"/>
        </w:rPr>
        <w:t>管理部门颁发的营业执照复印件各1份，复印件上需加盖单位公章。前两个年度资产负债比例表和损益表复印件各1份，复印件上需加盖单位公章。主办行单独申请认定时，应提供其清算行通过认定的文件复印件，且加盖清算行公章；主办行与清算行同时申请的不需提供清算行通过认定的文件复印件。</w:t>
      </w:r>
      <w:r>
        <w:rPr>
          <w:rFonts w:hint="eastAsia" w:ascii="仿宋_GB2312" w:eastAsia="仿宋_GB2312"/>
          <w:sz w:val="32"/>
          <w:szCs w:val="32"/>
          <w:lang w:eastAsia="zh-CN"/>
        </w:rPr>
        <w:t>”</w:t>
      </w:r>
    </w:p>
    <w:p>
      <w:pPr>
        <w:ind w:firstLine="643" w:firstLineChars="200"/>
        <w:rPr>
          <w:rFonts w:hint="eastAsia" w:ascii="仿宋_GB2312" w:eastAsia="仿宋_GB2312"/>
          <w:sz w:val="32"/>
          <w:szCs w:val="32"/>
        </w:rPr>
      </w:pPr>
      <w:r>
        <w:rPr>
          <w:rFonts w:hint="eastAsia" w:eastAsia="仿宋_GB2312" w:cs="Times New Roman"/>
          <w:b/>
          <w:bCs/>
          <w:sz w:val="32"/>
          <w:szCs w:val="32"/>
          <w:lang w:val="en-US" w:eastAsia="zh-CN"/>
        </w:rPr>
        <w:t>2.申请书</w:t>
      </w:r>
      <w:r>
        <w:rPr>
          <w:rFonts w:hint="eastAsia" w:eastAsia="仿宋_GB2312" w:cs="Times New Roman"/>
          <w:b/>
          <w:bCs/>
          <w:color w:val="auto"/>
          <w:sz w:val="32"/>
          <w:szCs w:val="32"/>
          <w:lang w:val="en-US" w:eastAsia="zh-CN"/>
        </w:rPr>
        <w:t>内容</w:t>
      </w:r>
      <w:r>
        <w:rPr>
          <w:rFonts w:hint="eastAsia" w:eastAsia="仿宋_GB2312" w:cs="Times New Roman"/>
          <w:b/>
          <w:bCs/>
          <w:sz w:val="32"/>
          <w:szCs w:val="32"/>
          <w:lang w:val="en-US" w:eastAsia="zh-CN"/>
        </w:rPr>
        <w:t>不完整。</w:t>
      </w:r>
      <w:r>
        <w:rPr>
          <w:rFonts w:hint="eastAsia" w:eastAsia="仿宋_GB2312" w:cs="Times New Roman"/>
          <w:sz w:val="32"/>
          <w:szCs w:val="32"/>
          <w:lang w:val="en-US" w:eastAsia="zh-CN"/>
        </w:rPr>
        <w:t>根据</w:t>
      </w:r>
      <w:r>
        <w:rPr>
          <w:rFonts w:hint="default" w:ascii="Times New Roman" w:hAnsi="Times New Roman" w:eastAsia="仿宋_GB2312" w:cs="Times New Roman"/>
          <w:sz w:val="32"/>
          <w:szCs w:val="32"/>
          <w:lang w:val="en-US"/>
        </w:rPr>
        <w:t>《关于印发&lt;宁夏地方国库集中收付代理银行资格认定实施办法&gt;的通知》（银银发〔2010〕52号）</w:t>
      </w:r>
      <w:r>
        <w:rPr>
          <w:rFonts w:hint="eastAsia" w:eastAsia="仿宋_GB2312" w:cs="Times New Roman"/>
          <w:sz w:val="32"/>
          <w:szCs w:val="32"/>
          <w:lang w:val="en-US" w:eastAsia="zh-CN"/>
        </w:rPr>
        <w:t>规定“</w:t>
      </w:r>
      <w:r>
        <w:rPr>
          <w:rFonts w:hint="eastAsia" w:ascii="仿宋_GB2312" w:eastAsia="仿宋_GB2312"/>
          <w:sz w:val="32"/>
          <w:szCs w:val="32"/>
        </w:rPr>
        <w:t>国库集中收付代理银行申请书，主要包括以下内容：机构设置、主管部门职责、人员配备、岗位责任、信息系统建设、资金汇划渠道等各种内部管理制度和风险防范机制说明；拟申请的主办行和清算行的相互管辖关系；拟代理国库集中收付业务时向收款人进行支付和向人民银行分支机构进行资金清算的流程和有关说明；针对国库集中收付业务的特殊性制定的管理措施、计算机硬件配置、软件开发及联网通讯方案等配套措施；服务承诺等内容</w:t>
      </w:r>
      <w:r>
        <w:rPr>
          <w:rFonts w:hint="eastAsia" w:ascii="仿宋_GB2312" w:eastAsia="仿宋_GB2312"/>
          <w:sz w:val="32"/>
          <w:szCs w:val="32"/>
          <w:lang w:eastAsia="zh-CN"/>
        </w:rPr>
        <w:t>”</w:t>
      </w:r>
      <w:r>
        <w:rPr>
          <w:rFonts w:hint="eastAsia" w:ascii="仿宋_GB2312" w:eastAsia="仿宋_GB2312"/>
          <w:sz w:val="32"/>
          <w:szCs w:val="32"/>
        </w:rPr>
        <w:t>。</w:t>
      </w:r>
    </w:p>
    <w:p>
      <w:pPr>
        <w:ind w:firstLine="640" w:firstLineChars="200"/>
        <w:rPr>
          <w:rFonts w:hint="default" w:eastAsia="仿宋_GB2312" w:cs="Times New Roman"/>
          <w:sz w:val="32"/>
          <w:szCs w:val="32"/>
          <w:lang w:val="en-US" w:eastAsia="zh-CN"/>
        </w:rPr>
      </w:pPr>
    </w:p>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宋体" w:cs="Times New Roman"/>
        <w:kern w:val="2"/>
        <w:sz w:val="18"/>
        <w:lang w:val="en-US" w:eastAsia="zh-CN" w:bidi="ar-SA"/>
      </w:rPr>
      <w:pict>
        <v:shape id="文本框 305"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C3370"/>
    <w:multiLevelType w:val="singleLevel"/>
    <w:tmpl w:val="031C3370"/>
    <w:lvl w:ilvl="0" w:tentative="0">
      <w:start w:val="1"/>
      <w:numFmt w:val="chineseCounting"/>
      <w:suff w:val="nothing"/>
      <w:lvlText w:val="（%1）"/>
      <w:lvlJc w:val="left"/>
      <w:rPr>
        <w:rFonts w:hint="eastAsia"/>
      </w:rPr>
    </w:lvl>
  </w:abstractNum>
  <w:abstractNum w:abstractNumId="1">
    <w:nsid w:val="58EF5029"/>
    <w:multiLevelType w:val="singleLevel"/>
    <w:tmpl w:val="58EF5029"/>
    <w:lvl w:ilvl="0" w:tentative="0">
      <w:start w:val="1"/>
      <w:numFmt w:val="chineseCounting"/>
      <w:suff w:val="nothing"/>
      <w:lvlText w:val="%1、"/>
      <w:lvlJc w:val="left"/>
      <w:pPr>
        <w:ind w:left="-10" w:firstLine="420"/>
      </w:pPr>
      <w:rPr>
        <w:rFonts w:hint="eastAsia"/>
      </w:rPr>
    </w:lvl>
  </w:abstractNum>
  <w:abstractNum w:abstractNumId="2">
    <w:nsid w:val="61307381"/>
    <w:multiLevelType w:val="singleLevel"/>
    <w:tmpl w:val="61307381"/>
    <w:lvl w:ilvl="0" w:tentative="0">
      <w:start w:val="2"/>
      <w:numFmt w:val="chineseCounting"/>
      <w:suff w:val="nothing"/>
      <w:lvlText w:val="%1、"/>
      <w:lvlJc w:val="left"/>
    </w:lvl>
  </w:abstractNum>
  <w:abstractNum w:abstractNumId="3">
    <w:nsid w:val="613073B6"/>
    <w:multiLevelType w:val="singleLevel"/>
    <w:tmpl w:val="613073B6"/>
    <w:lvl w:ilvl="0" w:tentative="0">
      <w:start w:val="1"/>
      <w:numFmt w:val="chineseCounting"/>
      <w:suff w:val="nothing"/>
      <w:lvlText w:val="（%1）"/>
      <w:lvlJc w:val="left"/>
    </w:lvl>
  </w:abstractNum>
  <w:abstractNum w:abstractNumId="4">
    <w:nsid w:val="613073CB"/>
    <w:multiLevelType w:val="singleLevel"/>
    <w:tmpl w:val="613073CB"/>
    <w:lvl w:ilvl="0" w:tentative="0">
      <w:start w:val="1"/>
      <w:numFmt w:val="decimal"/>
      <w:suff w:val="nothing"/>
      <w:lvlText w:val="%1、"/>
      <w:lvlJc w:val="left"/>
    </w:lvl>
  </w:abstractNum>
  <w:abstractNum w:abstractNumId="5">
    <w:nsid w:val="6130743C"/>
    <w:multiLevelType w:val="singleLevel"/>
    <w:tmpl w:val="6130743C"/>
    <w:lvl w:ilvl="0" w:tentative="0">
      <w:start w:val="2"/>
      <w:numFmt w:val="chineseCounting"/>
      <w:suff w:val="nothing"/>
      <w:lvlText w:val="（%1）"/>
      <w:lvlJc w:val="left"/>
    </w:lvl>
  </w:abstractNum>
  <w:abstractNum w:abstractNumId="6">
    <w:nsid w:val="61307A9E"/>
    <w:multiLevelType w:val="singleLevel"/>
    <w:tmpl w:val="61307A9E"/>
    <w:lvl w:ilvl="0" w:tentative="0">
      <w:start w:val="4"/>
      <w:numFmt w:val="chineseCounting"/>
      <w:suff w:val="nothing"/>
      <w:lvlText w:val="（%1）"/>
      <w:lvlJc w:val="left"/>
    </w:lvl>
  </w:abstractNum>
  <w:abstractNum w:abstractNumId="7">
    <w:nsid w:val="6130843E"/>
    <w:multiLevelType w:val="singleLevel"/>
    <w:tmpl w:val="6130843E"/>
    <w:lvl w:ilvl="0" w:tentative="0">
      <w:start w:val="1"/>
      <w:numFmt w:val="chineseCounting"/>
      <w:suff w:val="nothing"/>
      <w:lvlText w:val="%1、"/>
      <w:lvlJc w:val="left"/>
    </w:lvl>
  </w:abstractNum>
  <w:abstractNum w:abstractNumId="8">
    <w:nsid w:val="621ECAA4"/>
    <w:multiLevelType w:val="singleLevel"/>
    <w:tmpl w:val="621ECAA4"/>
    <w:lvl w:ilvl="0" w:tentative="0">
      <w:start w:val="1"/>
      <w:numFmt w:val="decimal"/>
      <w:suff w:val="nothing"/>
      <w:lvlText w:val="（%1）"/>
      <w:lvlJc w:val="left"/>
    </w:lvl>
  </w:abstractNum>
  <w:abstractNum w:abstractNumId="9">
    <w:nsid w:val="6220341F"/>
    <w:multiLevelType w:val="singleLevel"/>
    <w:tmpl w:val="6220341F"/>
    <w:lvl w:ilvl="0" w:tentative="0">
      <w:start w:val="1"/>
      <w:numFmt w:val="chineseCounting"/>
      <w:suff w:val="nothing"/>
      <w:lvlText w:val="（%1）"/>
      <w:lvlJc w:val="left"/>
    </w:lvl>
  </w:abstractNum>
  <w:num w:numId="1">
    <w:abstractNumId w:val="1"/>
  </w:num>
  <w:num w:numId="2">
    <w:abstractNumId w:val="8"/>
  </w:num>
  <w:num w:numId="3">
    <w:abstractNumId w:val="9"/>
  </w:num>
  <w:num w:numId="4">
    <w:abstractNumId w:val="0"/>
  </w:num>
  <w:num w:numId="5">
    <w:abstractNumId w:val="2"/>
  </w:num>
  <w:num w:numId="6">
    <w:abstractNumId w:val="3"/>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A535C0"/>
    <w:rsid w:val="08EE55FF"/>
    <w:rsid w:val="0B44448B"/>
    <w:rsid w:val="10AE10E6"/>
    <w:rsid w:val="137C0ED2"/>
    <w:rsid w:val="18BB4E3B"/>
    <w:rsid w:val="18D449C0"/>
    <w:rsid w:val="191F35A9"/>
    <w:rsid w:val="19887D64"/>
    <w:rsid w:val="19C0155E"/>
    <w:rsid w:val="1CBD1F7D"/>
    <w:rsid w:val="1F377FA8"/>
    <w:rsid w:val="205B641F"/>
    <w:rsid w:val="21B77945"/>
    <w:rsid w:val="22FD3A29"/>
    <w:rsid w:val="23B562BA"/>
    <w:rsid w:val="23C00CF4"/>
    <w:rsid w:val="23E015E6"/>
    <w:rsid w:val="24CE661F"/>
    <w:rsid w:val="253C063A"/>
    <w:rsid w:val="27384CB3"/>
    <w:rsid w:val="28FE56FB"/>
    <w:rsid w:val="34526D0F"/>
    <w:rsid w:val="36B90BD0"/>
    <w:rsid w:val="389647E3"/>
    <w:rsid w:val="39E91221"/>
    <w:rsid w:val="3D06175C"/>
    <w:rsid w:val="3E546D89"/>
    <w:rsid w:val="3F2A1578"/>
    <w:rsid w:val="445261C9"/>
    <w:rsid w:val="462E3E5B"/>
    <w:rsid w:val="472B295F"/>
    <w:rsid w:val="49B525FE"/>
    <w:rsid w:val="4B876778"/>
    <w:rsid w:val="4BD6098D"/>
    <w:rsid w:val="4E7E6D18"/>
    <w:rsid w:val="4EA20795"/>
    <w:rsid w:val="4FD45E98"/>
    <w:rsid w:val="503D12BC"/>
    <w:rsid w:val="50596FE0"/>
    <w:rsid w:val="50D72189"/>
    <w:rsid w:val="51F92290"/>
    <w:rsid w:val="52FC380C"/>
    <w:rsid w:val="53C80D24"/>
    <w:rsid w:val="53E20AD3"/>
    <w:rsid w:val="5AA74F5B"/>
    <w:rsid w:val="5F1B7E88"/>
    <w:rsid w:val="66BC109F"/>
    <w:rsid w:val="6974083E"/>
    <w:rsid w:val="6CCC1DA1"/>
    <w:rsid w:val="6E5C19B9"/>
    <w:rsid w:val="6E9104F1"/>
    <w:rsid w:val="6FDF096B"/>
    <w:rsid w:val="71064610"/>
    <w:rsid w:val="7138344C"/>
    <w:rsid w:val="72307C53"/>
    <w:rsid w:val="73047240"/>
    <w:rsid w:val="734547AA"/>
    <w:rsid w:val="73560079"/>
    <w:rsid w:val="748D1F11"/>
    <w:rsid w:val="75942845"/>
    <w:rsid w:val="76C07F60"/>
    <w:rsid w:val="78693C57"/>
    <w:rsid w:val="788778B9"/>
    <w:rsid w:val="78907AE6"/>
    <w:rsid w:val="78B34255"/>
    <w:rsid w:val="79F621AE"/>
    <w:rsid w:val="7DC8275C"/>
    <w:rsid w:val="7E3E1799"/>
    <w:rsid w:val="7F0D1F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16">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annotation text"/>
    <w:basedOn w:val="1"/>
    <w:unhideWhenUsed/>
    <w:qFormat/>
    <w:uiPriority w:val="99"/>
    <w:pPr>
      <w:jc w:val="left"/>
    </w:p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unhideWhenUsed/>
    <w:qFormat/>
    <w:uiPriority w:val="39"/>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unhideWhenUsed/>
    <w:qFormat/>
    <w:uiPriority w:val="39"/>
  </w:style>
  <w:style w:type="paragraph" w:styleId="11">
    <w:name w:val="toc 4"/>
    <w:basedOn w:val="1"/>
    <w:next w:val="1"/>
    <w:unhideWhenUsed/>
    <w:qFormat/>
    <w:uiPriority w:val="39"/>
    <w:pPr>
      <w:ind w:left="1260" w:leftChars="600"/>
    </w:pPr>
  </w:style>
  <w:style w:type="paragraph" w:styleId="12">
    <w:name w:val="toc 6"/>
    <w:basedOn w:val="1"/>
    <w:next w:val="1"/>
    <w:unhideWhenUsed/>
    <w:qFormat/>
    <w:uiPriority w:val="39"/>
    <w:pPr>
      <w:ind w:left="2100" w:leftChars="1000"/>
    </w:pPr>
  </w:style>
  <w:style w:type="paragraph" w:styleId="13">
    <w:name w:val="toc 2"/>
    <w:basedOn w:val="1"/>
    <w:next w:val="1"/>
    <w:unhideWhenUsed/>
    <w:qFormat/>
    <w:uiPriority w:val="39"/>
    <w:pPr>
      <w:ind w:left="420" w:leftChars="200"/>
    </w:pPr>
  </w:style>
  <w:style w:type="paragraph" w:styleId="14">
    <w:name w:val="toc 9"/>
    <w:basedOn w:val="1"/>
    <w:next w:val="1"/>
    <w:unhideWhenUsed/>
    <w:qFormat/>
    <w:uiPriority w:val="39"/>
    <w:pPr>
      <w:ind w:left="3360" w:leftChars="1600"/>
    </w:pPr>
  </w:style>
  <w:style w:type="character" w:styleId="17">
    <w:name w:val="page number"/>
    <w:basedOn w:val="16"/>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6577</Words>
  <Characters>6850</Characters>
  <Lines>0</Lines>
  <Paragraphs>0</Paragraphs>
  <TotalTime>0</TotalTime>
  <ScaleCrop>false</ScaleCrop>
  <LinksUpToDate>false</LinksUpToDate>
  <CharactersWithSpaces>7173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2016-07-15T01:08:00Z</dcterms:created>
  <dc:creator>Administrator</dc:creator>
  <cp:lastModifiedBy>黄雅楠</cp:lastModifiedBy>
  <cp:lastPrinted>2024-09-09T03:14:00Z</cp:lastPrinted>
  <dcterms:modified xsi:type="dcterms:W3CDTF">2025-04-23T01:11:40Z</dcterms:modified>
  <dc:title>国库处公共服务事项办事指南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DE51A326DDC84C90A48735A6E02AB9DA</vt:lpwstr>
  </property>
</Properties>
</file>