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方正小标宋简体" w:cs="Times New Roman"/>
          <w:b w:val="0"/>
          <w:bCs/>
          <w:lang w:val="en-US"/>
        </w:rPr>
      </w:pPr>
      <w:bookmarkStart w:id="0" w:name="_Toc16813"/>
      <w:r>
        <w:rPr>
          <w:rFonts w:hint="default" w:ascii="Times New Roman" w:hAnsi="Times New Roman" w:eastAsia="方正小标宋简体" w:cs="Times New Roman"/>
          <w:b w:val="0"/>
          <w:bCs/>
          <w:lang w:val="en-US" w:eastAsia="zh-CN"/>
        </w:rPr>
        <w:t>国债兑付</w:t>
      </w:r>
      <w:r>
        <w:rPr>
          <w:rFonts w:hint="default" w:ascii="Times New Roman" w:hAnsi="Times New Roman" w:eastAsia="方正小标宋简体" w:cs="Times New Roman"/>
          <w:b w:val="0"/>
          <w:bCs/>
          <w:lang w:val="en-US"/>
        </w:rPr>
        <w:t>业务办</w:t>
      </w:r>
      <w:r>
        <w:rPr>
          <w:rFonts w:hint="default" w:ascii="Times New Roman" w:hAnsi="Times New Roman" w:eastAsia="方正小标宋简体" w:cs="Times New Roman"/>
          <w:b w:val="0"/>
          <w:bCs/>
          <w:lang w:val="en-US" w:eastAsia="zh-CN"/>
        </w:rPr>
        <w:t>事</w:t>
      </w:r>
      <w:r>
        <w:rPr>
          <w:rFonts w:hint="default" w:ascii="Times New Roman" w:hAnsi="Times New Roman" w:eastAsia="方正小标宋简体" w:cs="Times New Roman"/>
          <w:b w:val="0"/>
          <w:bCs/>
          <w:lang w:val="en-US"/>
        </w:rPr>
        <w:t>指南</w:t>
      </w:r>
      <w:bookmarkEnd w:id="0"/>
    </w:p>
    <w:p>
      <w:pPr>
        <w:numPr>
          <w:ilvl w:val="0"/>
          <w:numId w:val="0"/>
        </w:numPr>
        <w:ind w:leftChars="200"/>
        <w:rPr>
          <w:rFonts w:hint="eastAsia" w:ascii="黑体" w:hAnsi="黑体" w:eastAsia="黑体" w:cs="黑体"/>
          <w:b w:val="0"/>
          <w:bCs w:val="0"/>
          <w:sz w:val="30"/>
          <w:szCs w:val="30"/>
          <w:lang w:val="en-US" w:eastAsia="zh-CN"/>
        </w:rPr>
      </w:pPr>
      <w:r>
        <w:rPr>
          <w:rFonts w:hint="eastAsia" w:ascii="黑体" w:hAnsi="黑体" w:eastAsia="黑体" w:cs="黑体"/>
          <w:b w:val="0"/>
          <w:bCs w:val="0"/>
          <w:sz w:val="32"/>
          <w:szCs w:val="32"/>
          <w:lang w:val="en-US" w:eastAsia="zh-CN"/>
        </w:rPr>
        <w:t>一、事项名称</w:t>
      </w:r>
    </w:p>
    <w:p>
      <w:pPr>
        <w:widowControl w:val="0"/>
        <w:wordWrap/>
        <w:adjustRightInd/>
        <w:snapToGrid/>
        <w:spacing w:line="240" w:lineRule="auto"/>
        <w:ind w:left="0" w:leftChars="0" w:right="0" w:firstLine="640" w:firstLineChars="200"/>
        <w:jc w:val="both"/>
        <w:textAlignment w:val="auto"/>
        <w:outlineLvl w:val="9"/>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b w:val="0"/>
          <w:bCs w:val="0"/>
          <w:sz w:val="32"/>
          <w:szCs w:val="32"/>
          <w:lang w:val="en-US" w:eastAsia="zh-CN"/>
        </w:rPr>
        <w:t>国债兑付</w:t>
      </w:r>
      <w:r>
        <w:rPr>
          <w:rFonts w:hint="eastAsia" w:eastAsia="仿宋_GB2312" w:cs="Times New Roman"/>
          <w:b w:val="0"/>
          <w:bCs w:val="0"/>
          <w:sz w:val="32"/>
          <w:szCs w:val="32"/>
          <w:lang w:val="en-US" w:eastAsia="zh-CN"/>
        </w:rPr>
        <w:t>。</w:t>
      </w:r>
    </w:p>
    <w:p>
      <w:pPr>
        <w:numPr>
          <w:ilvl w:val="0"/>
          <w:numId w:val="0"/>
        </w:numPr>
        <w:ind w:left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二、事项类别</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公共服务事项。</w:t>
      </w:r>
    </w:p>
    <w:p>
      <w:pPr>
        <w:widowControl w:val="0"/>
        <w:numPr>
          <w:ilvl w:val="0"/>
          <w:numId w:val="0"/>
        </w:numPr>
        <w:wordWrap/>
        <w:adjustRightInd/>
        <w:snapToGrid/>
        <w:spacing w:line="240" w:lineRule="auto"/>
        <w:ind w:leftChars="200" w:right="0" w:rightChars="0"/>
        <w:jc w:val="both"/>
        <w:textAlignment w:val="auto"/>
        <w:outlineLvl w:val="9"/>
        <w:rPr>
          <w:rFonts w:hint="default" w:ascii="Times New Roman" w:hAnsi="Times New Roman" w:eastAsia="仿宋_GB2312" w:cs="Times New Roman"/>
          <w:b/>
          <w:bCs/>
          <w:sz w:val="32"/>
          <w:szCs w:val="32"/>
          <w:lang w:val="en-US" w:eastAsia="zh-CN"/>
        </w:rPr>
      </w:pPr>
      <w:r>
        <w:rPr>
          <w:rFonts w:hint="eastAsia" w:ascii="黑体" w:hAnsi="黑体" w:eastAsia="黑体" w:cs="黑体"/>
          <w:b w:val="0"/>
          <w:bCs w:val="0"/>
          <w:sz w:val="32"/>
          <w:szCs w:val="32"/>
          <w:lang w:val="en-US" w:eastAsia="zh-CN"/>
        </w:rPr>
        <w:t>三、办理依据</w: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仿宋_GB2312" w:cs="Times New Roman"/>
          <w:b/>
          <w:bCs/>
          <w:color w:val="000000"/>
          <w:sz w:val="30"/>
          <w:szCs w:val="30"/>
        </w:rPr>
      </w:pPr>
      <w:r>
        <w:rPr>
          <w:rFonts w:hint="default" w:ascii="Times New Roman" w:hAnsi="Times New Roman" w:eastAsia="仿宋_GB2312" w:cs="Times New Roman"/>
          <w:b/>
          <w:bCs/>
          <w:sz w:val="30"/>
          <w:szCs w:val="30"/>
          <w:lang w:val="en-US" w:eastAsia="zh-CN"/>
        </w:rPr>
        <w:t xml:space="preserve">    </w:t>
      </w:r>
      <w:r>
        <w:rPr>
          <w:rFonts w:hint="default" w:ascii="Times New Roman" w:hAnsi="Times New Roman" w:eastAsia="仿宋_GB2312" w:cs="Times New Roman"/>
          <w:b w:val="0"/>
          <w:bCs w:val="0"/>
          <w:sz w:val="32"/>
          <w:szCs w:val="32"/>
          <w:lang w:val="en-US" w:eastAsia="zh-CN"/>
        </w:rPr>
        <w:t>《中国人民银行无记名国债及收款单兑付业务操作规程》、《国库会计数据集中系统业务操作规程（试行）》等。</w:t>
      </w:r>
    </w:p>
    <w:p>
      <w:pPr>
        <w:numPr>
          <w:ilvl w:val="0"/>
          <w:numId w:val="0"/>
        </w:numPr>
        <w:ind w:left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四、受理部门</w:t>
      </w:r>
    </w:p>
    <w:p>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 xml:space="preserve">    </w:t>
      </w:r>
      <w:r>
        <w:rPr>
          <w:rFonts w:hint="default" w:ascii="Times New Roman" w:hAnsi="Times New Roman" w:eastAsia="仿宋_GB2312" w:cs="Times New Roman"/>
          <w:b w:val="0"/>
          <w:bCs w:val="0"/>
          <w:sz w:val="32"/>
          <w:szCs w:val="32"/>
          <w:lang w:val="en-US" w:eastAsia="zh-CN"/>
        </w:rPr>
        <w:t>中国人民银行</w:t>
      </w:r>
      <w:r>
        <w:rPr>
          <w:rFonts w:hint="eastAsia" w:ascii="Times New Roman" w:hAnsi="Times New Roman" w:eastAsia="仿宋_GB2312" w:cs="Times New Roman"/>
          <w:b w:val="0"/>
          <w:bCs w:val="0"/>
          <w:sz w:val="32"/>
          <w:szCs w:val="32"/>
          <w:lang w:val="en-US" w:eastAsia="zh-CN"/>
        </w:rPr>
        <w:t>宁夏回族自治区分</w:t>
      </w:r>
      <w:r>
        <w:rPr>
          <w:rFonts w:hint="default" w:ascii="Times New Roman" w:hAnsi="Times New Roman" w:eastAsia="仿宋_GB2312" w:cs="Times New Roman"/>
          <w:b w:val="0"/>
          <w:bCs w:val="0"/>
          <w:sz w:val="32"/>
          <w:szCs w:val="32"/>
          <w:lang w:val="en-US" w:eastAsia="zh-CN"/>
        </w:rPr>
        <w:t>行国库处</w:t>
      </w:r>
      <w:r>
        <w:rPr>
          <w:rFonts w:hint="eastAsia" w:ascii="Times New Roman" w:hAnsi="Times New Roman" w:eastAsia="仿宋_GB2312" w:cs="Times New Roman"/>
          <w:b w:val="0"/>
          <w:bCs w:val="0"/>
          <w:sz w:val="32"/>
          <w:szCs w:val="32"/>
          <w:lang w:val="en-US" w:eastAsia="zh-CN"/>
        </w:rPr>
        <w:t>。</w:t>
      </w:r>
    </w:p>
    <w:p>
      <w:pPr>
        <w:widowControl w:val="0"/>
        <w:numPr>
          <w:ilvl w:val="0"/>
          <w:numId w:val="0"/>
        </w:numPr>
        <w:wordWrap/>
        <w:adjustRightInd/>
        <w:snapToGrid/>
        <w:spacing w:line="240" w:lineRule="auto"/>
        <w:ind w:leftChars="200"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五、基本流程</w:t>
      </w:r>
    </w:p>
    <w:p>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0"/>
          <w:szCs w:val="30"/>
          <w:lang w:val="en-US" w:eastAsia="zh-CN"/>
        </w:rPr>
        <w:t xml:space="preserve">    </w:t>
      </w:r>
      <w:r>
        <w:rPr>
          <w:rFonts w:hint="default" w:ascii="Times New Roman" w:hAnsi="Times New Roman" w:eastAsia="仿宋_GB2312" w:cs="Times New Roman"/>
          <w:b w:val="0"/>
          <w:bCs w:val="0"/>
          <w:sz w:val="32"/>
          <w:szCs w:val="32"/>
          <w:lang w:val="en-US" w:eastAsia="zh-CN"/>
        </w:rPr>
        <w:t>（一）无记名国债兑付</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持券人将国债兑付材料提交国库会计核算柜台人员→系统操作员收到无记名国债（实物券）进行真伪审核→操作员（录入）将审核通过的无记名国债，进行TCBS表外转账录入→操作员（复核）将已录入的无记名国债，进行TCBS表外转账复核，系统自动提交→操作员（录入）将已做表外转账处理的无记名国债，在TCBS系统做国债兑付业务录入→操作员（复核）将录入完毕的无记名国债，在TCBS系统做国债兑付业务复核→操作员（重要要素复核）将复核完毕的无记名国债，在TCBS系统做重要要素复核，系统自动提交，发出资金。</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（二）收款单兑付</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持券人将国债兑付材料提交国库会计核算柜台人员→经办人员审核无误后，在“国家债券收款单管理系统”中录入相关信息→复核人员核对相符后，打印“收款单可兑付通知书”一式两份→复核人员将“收款单可兑付通知书”交会计主管审核签章后，一份加盖国库业务专用章交持单人，另一份作记账凭证附件→收款单收据联、存根联加盖“已兑付”戳记及名章，并按相关规定进行账务处理。</w:t>
      </w:r>
    </w:p>
    <w:p>
      <w:pPr>
        <w:widowControl w:val="0"/>
        <w:numPr>
          <w:ilvl w:val="0"/>
          <w:numId w:val="0"/>
        </w:numPr>
        <w:wordWrap/>
        <w:adjustRightInd/>
        <w:snapToGrid/>
        <w:spacing w:line="240" w:lineRule="auto"/>
        <w:ind w:leftChars="200"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六、申请材料</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（一）兑付无记名国债需提供的材料：持券人的身份证及复印件、个人结算账户相关信息等。</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（二）兑付</w:t>
      </w:r>
      <w:r>
        <w:rPr>
          <w:rFonts w:hint="eastAsia" w:ascii="Times New Roman" w:hAnsi="Times New Roman" w:eastAsia="仿宋_GB2312" w:cs="Times New Roman"/>
          <w:b w:val="0"/>
          <w:bCs w:val="0"/>
          <w:sz w:val="32"/>
          <w:szCs w:val="32"/>
          <w:lang w:val="en-US" w:eastAsia="zh-CN"/>
        </w:rPr>
        <w:t>正常情况</w:t>
      </w:r>
      <w:r>
        <w:rPr>
          <w:rFonts w:hint="default" w:ascii="Times New Roman" w:hAnsi="Times New Roman" w:eastAsia="仿宋_GB2312" w:cs="Times New Roman"/>
          <w:b w:val="0"/>
          <w:bCs w:val="0"/>
          <w:sz w:val="32"/>
          <w:szCs w:val="32"/>
          <w:lang w:val="en-US" w:eastAsia="zh-CN"/>
        </w:rPr>
        <w:t>收款单需提供的材料：</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1.办理单位收款单兑付业务时，须提供的材料包括：收款单收据联、单位介绍信（介绍信上应注明收款单位名称、开户行账号和开户行名称）、单位经办人的身份证、复印件和联系电话；</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2.办理个人收款单兑付时，须提供的材料包括：收款单收据联、开户行账号和开户行名称、持单人身份证及复印件和联系电话。</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sz w:val="32"/>
          <w:szCs w:val="32"/>
          <w:lang w:val="en-US" w:eastAsia="zh-CN"/>
        </w:rPr>
        <w:t>兑付</w:t>
      </w:r>
      <w:r>
        <w:rPr>
          <w:rFonts w:hint="default" w:ascii="Times New Roman" w:hAnsi="Times New Roman" w:eastAsia="仿宋_GB2312" w:cs="Times New Roman"/>
          <w:b w:val="0"/>
          <w:bCs w:val="0"/>
          <w:sz w:val="32"/>
          <w:szCs w:val="32"/>
          <w:lang w:val="en-US" w:eastAsia="zh-CN"/>
        </w:rPr>
        <w:t>特殊</w:t>
      </w:r>
      <w:r>
        <w:rPr>
          <w:rFonts w:hint="eastAsia" w:ascii="Times New Roman" w:hAnsi="Times New Roman" w:eastAsia="仿宋_GB2312" w:cs="Times New Roman"/>
          <w:b w:val="0"/>
          <w:bCs w:val="0"/>
          <w:sz w:val="32"/>
          <w:szCs w:val="32"/>
          <w:lang w:val="en-US" w:eastAsia="zh-CN"/>
        </w:rPr>
        <w:t>情况</w:t>
      </w:r>
      <w:r>
        <w:rPr>
          <w:rFonts w:hint="default" w:ascii="Times New Roman" w:hAnsi="Times New Roman" w:eastAsia="仿宋_GB2312" w:cs="Times New Roman"/>
          <w:b w:val="0"/>
          <w:bCs w:val="0"/>
          <w:sz w:val="32"/>
          <w:szCs w:val="32"/>
          <w:lang w:val="en-US" w:eastAsia="zh-CN"/>
        </w:rPr>
        <w:t>收款单</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除提供</w:t>
      </w:r>
      <w:r>
        <w:rPr>
          <w:rFonts w:hint="eastAsia" w:ascii="Times New Roman" w:hAnsi="Times New Roman" w:eastAsia="仿宋_GB2312" w:cs="Times New Roman"/>
          <w:b w:val="0"/>
          <w:bCs w:val="0"/>
          <w:sz w:val="32"/>
          <w:szCs w:val="32"/>
          <w:lang w:val="en-US" w:eastAsia="zh-CN"/>
        </w:rPr>
        <w:t>上述材料</w:t>
      </w:r>
      <w:r>
        <w:rPr>
          <w:rFonts w:hint="default" w:ascii="Times New Roman" w:hAnsi="Times New Roman" w:eastAsia="仿宋_GB2312" w:cs="Times New Roman"/>
          <w:b w:val="0"/>
          <w:bCs w:val="0"/>
          <w:sz w:val="32"/>
          <w:szCs w:val="32"/>
          <w:lang w:val="en-US" w:eastAsia="zh-CN"/>
        </w:rPr>
        <w:t>外</w:t>
      </w:r>
      <w:r>
        <w:rPr>
          <w:rFonts w:hint="eastAsia" w:ascii="Times New Roman" w:hAnsi="Times New Roman" w:eastAsia="仿宋_GB2312" w:cs="Times New Roman"/>
          <w:b w:val="0"/>
          <w:bCs w:val="0"/>
          <w:sz w:val="32"/>
          <w:szCs w:val="32"/>
          <w:lang w:val="en-US" w:eastAsia="zh-CN"/>
        </w:rPr>
        <w:t>，还需根据以下情况提供相应材料：</w:t>
      </w:r>
    </w:p>
    <w:p>
      <w:pPr>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1.收款单收据联存在，但债权人与持单人名称不一致</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如：</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（1）债权单位主体延续存在，仅发生名称变更的，须提供债权单位名称变更相关法律文件。</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（2）原认购单位被兼并，收款单由兼并企业持有，兑付时须提供相关兼并文件或现单位承接原单位债权的相关证明。</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（3）原债权单位将收款单转给其他单位或个人，兑付时须提供持单人合法取得该债权的相关证明材料。</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企业破产或自行解散。由其上级主管部门出具说明该企业破产或解散及收款单债权情况的证明材料；没有上级主管部门的，须有工商管理部门的该企业注销登记证明或其他有关部门出具的能够证明其债权合法取得的材料。符合上述条件的，可将款项划往其合法的债权人。</w:t>
      </w:r>
    </w:p>
    <w:p>
      <w:pPr>
        <w:ind w:firstLine="64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b w:val="0"/>
          <w:bCs w:val="0"/>
          <w:sz w:val="32"/>
          <w:szCs w:val="32"/>
          <w:lang w:val="en-US" w:eastAsia="zh-CN"/>
        </w:rPr>
        <w:t>2.收款单收据联遗失的，</w:t>
      </w:r>
      <w:r>
        <w:rPr>
          <w:rFonts w:hint="eastAsia" w:ascii="Times New Roman" w:hAnsi="Times New Roman" w:eastAsia="仿宋_GB2312" w:cs="Times New Roman"/>
          <w:b w:val="0"/>
          <w:bCs w:val="0"/>
          <w:sz w:val="32"/>
          <w:szCs w:val="32"/>
          <w:lang w:val="en-US" w:eastAsia="zh-CN"/>
        </w:rPr>
        <w:t>需提供</w:t>
      </w:r>
      <w:r>
        <w:rPr>
          <w:rFonts w:hint="default" w:ascii="Times New Roman" w:hAnsi="Times New Roman" w:eastAsia="仿宋_GB2312" w:cs="Times New Roman"/>
          <w:b w:val="0"/>
          <w:bCs w:val="0"/>
          <w:sz w:val="32"/>
          <w:szCs w:val="32"/>
          <w:lang w:val="en-US" w:eastAsia="zh-CN"/>
        </w:rPr>
        <w:t>债权单位证明</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内容包括收款单收据联遗失原因、金额、经办人姓名、</w:t>
      </w:r>
      <w:r>
        <w:rPr>
          <w:rFonts w:hint="eastAsia" w:ascii="Times New Roman" w:hAnsi="Times New Roman" w:eastAsia="仿宋_GB2312" w:cs="Times New Roman"/>
          <w:b w:val="0"/>
          <w:bCs w:val="0"/>
          <w:sz w:val="32"/>
          <w:szCs w:val="32"/>
          <w:lang w:val="en-US" w:eastAsia="zh-CN"/>
        </w:rPr>
        <w:t>持单人的</w:t>
      </w:r>
      <w:r>
        <w:rPr>
          <w:rFonts w:hint="default" w:ascii="Times New Roman" w:hAnsi="Times New Roman" w:eastAsia="仿宋_GB2312" w:cs="Times New Roman"/>
          <w:b w:val="0"/>
          <w:bCs w:val="0"/>
          <w:sz w:val="32"/>
          <w:szCs w:val="32"/>
          <w:lang w:val="en-US" w:eastAsia="zh-CN"/>
        </w:rPr>
        <w:t>开户银行</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账号等</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债权单位出具承诺书</w:t>
      </w:r>
      <w:r>
        <w:rPr>
          <w:rFonts w:hint="eastAsia" w:ascii="Times New Roman" w:hAnsi="Times New Roman" w:eastAsia="仿宋_GB2312" w:cs="Times New Roman"/>
          <w:b w:val="0"/>
          <w:bCs w:val="0"/>
          <w:sz w:val="32"/>
          <w:szCs w:val="32"/>
          <w:lang w:val="en-US" w:eastAsia="zh-CN"/>
        </w:rPr>
        <w:t>（承诺</w:t>
      </w:r>
      <w:r>
        <w:rPr>
          <w:rFonts w:hint="default" w:ascii="Times New Roman" w:hAnsi="Times New Roman" w:eastAsia="仿宋_GB2312" w:cs="Times New Roman"/>
          <w:b w:val="0"/>
          <w:bCs w:val="0"/>
          <w:sz w:val="32"/>
          <w:szCs w:val="32"/>
          <w:lang w:val="en-US" w:eastAsia="zh-CN"/>
        </w:rPr>
        <w:t>内容</w:t>
      </w:r>
      <w:r>
        <w:rPr>
          <w:rFonts w:hint="eastAsia" w:ascii="Times New Roman" w:hAnsi="Times New Roman" w:eastAsia="仿宋_GB2312" w:cs="Times New Roman"/>
          <w:b w:val="0"/>
          <w:bCs w:val="0"/>
          <w:sz w:val="32"/>
          <w:szCs w:val="32"/>
          <w:lang w:val="en-US" w:eastAsia="zh-CN"/>
        </w:rPr>
        <w:t>应</w:t>
      </w:r>
      <w:r>
        <w:rPr>
          <w:rFonts w:hint="default" w:ascii="Times New Roman" w:hAnsi="Times New Roman" w:eastAsia="仿宋_GB2312" w:cs="Times New Roman"/>
          <w:b w:val="0"/>
          <w:bCs w:val="0"/>
          <w:sz w:val="32"/>
          <w:szCs w:val="32"/>
          <w:lang w:val="en-US" w:eastAsia="zh-CN"/>
        </w:rPr>
        <w:t>包括</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兑付后收款单收据联自动作废，如以后产生纠纷，由债权单位负相应法律责任</w:t>
      </w:r>
      <w:r>
        <w:rPr>
          <w:rFonts w:hint="eastAsia" w:ascii="Times New Roman" w:hAnsi="Times New Roman" w:eastAsia="仿宋_GB2312" w:cs="Times New Roman"/>
          <w:b w:val="0"/>
          <w:bCs w:val="0"/>
          <w:sz w:val="32"/>
          <w:szCs w:val="32"/>
          <w:lang w:val="en-US" w:eastAsia="zh-CN"/>
        </w:rPr>
        <w:t>”）。若</w:t>
      </w:r>
      <w:r>
        <w:rPr>
          <w:rFonts w:hint="default" w:ascii="Times New Roman" w:hAnsi="Times New Roman" w:eastAsia="仿宋_GB2312" w:cs="Times New Roman"/>
          <w:b w:val="0"/>
          <w:bCs w:val="0"/>
          <w:sz w:val="32"/>
          <w:szCs w:val="32"/>
          <w:lang w:val="en-US" w:eastAsia="zh-CN"/>
        </w:rPr>
        <w:t>债权单位主体延续存在，仅发生名称变更的，还需提供债权单位名称变更相关文件。</w:t>
      </w:r>
    </w:p>
    <w:p>
      <w:pPr>
        <w:numPr>
          <w:ilvl w:val="0"/>
          <w:numId w:val="0"/>
        </w:numPr>
        <w:ind w:left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七、办理时限</w:t>
      </w:r>
    </w:p>
    <w:p>
      <w:pPr>
        <w:rPr>
          <w:rFonts w:hint="default" w:ascii="Times New Roman" w:hAnsi="Times New Roman" w:eastAsia="仿宋_GB2312" w:cs="Times New Roman"/>
          <w:sz w:val="30"/>
          <w:szCs w:val="30"/>
          <w:lang w:val="en-US" w:eastAsia="zh-CN"/>
        </w:rPr>
      </w:pPr>
      <w:bookmarkStart w:id="1" w:name="_GoBack"/>
      <w:bookmarkEnd w:id="1"/>
      <w:r>
        <w:rPr>
          <w:rFonts w:hint="default" w:ascii="Times New Roman" w:hAnsi="Times New Roman" w:eastAsia="仿宋_GB2312" w:cs="Times New Roman"/>
          <w:b/>
          <w:bCs/>
          <w:sz w:val="30"/>
          <w:szCs w:val="30"/>
          <w:lang w:val="en-US" w:eastAsia="zh-CN"/>
        </w:rPr>
        <w:t xml:space="preserve">   </w:t>
      </w:r>
      <w:r>
        <w:rPr>
          <w:rFonts w:hint="default" w:ascii="Times New Roman" w:hAnsi="Times New Roman" w:eastAsia="仿宋_GB2312" w:cs="Times New Roman"/>
          <w:color w:val="000000"/>
          <w:sz w:val="30"/>
          <w:szCs w:val="30"/>
          <w:lang w:val="en-US" w:eastAsia="zh-CN"/>
        </w:rPr>
        <w:t xml:space="preserve"> </w:t>
      </w:r>
      <w:r>
        <w:rPr>
          <w:rFonts w:hint="eastAsia" w:ascii="Times New Roman" w:hAnsi="Times New Roman" w:eastAsia="仿宋_GB2312" w:cs="Times New Roman"/>
          <w:b w:val="0"/>
          <w:bCs w:val="0"/>
          <w:sz w:val="32"/>
          <w:szCs w:val="32"/>
          <w:lang w:val="en-US" w:eastAsia="zh-CN"/>
        </w:rPr>
        <w:t>即时办理。</w:t>
      </w:r>
    </w:p>
    <w:p>
      <w:pPr>
        <w:numPr>
          <w:ilvl w:val="0"/>
          <w:numId w:val="0"/>
        </w:numPr>
        <w:ind w:left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八、咨询渠道</w:t>
      </w:r>
    </w:p>
    <w:p>
      <w:pPr>
        <w:ind w:firstLine="640" w:firstLineChars="200"/>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2"/>
          <w:szCs w:val="32"/>
          <w:lang w:val="en-US" w:eastAsia="zh-CN"/>
        </w:rPr>
        <w:t>业务咨询电话：0951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5189516。</w:t>
      </w:r>
    </w:p>
    <w:p>
      <w:pPr>
        <w:numPr>
          <w:ilvl w:val="0"/>
          <w:numId w:val="0"/>
        </w:numPr>
        <w:ind w:left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lang w:val="en-US"/>
        </w:rPr>
        <w:t>办公时间及地址</w:t>
      </w:r>
    </w:p>
    <w:p>
      <w:pPr>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周一至周五（法定节假日除外）</w:t>
      </w:r>
      <w:r>
        <w:rPr>
          <w:rFonts w:hint="eastAsia" w:ascii="Times New Roman" w:hAnsi="Times New Roman" w:eastAsia="仿宋_GB2312" w:cs="Times New Roman"/>
          <w:b w:val="0"/>
          <w:bCs w:val="0"/>
          <w:sz w:val="32"/>
          <w:szCs w:val="32"/>
          <w:lang w:val="en-US" w:eastAsia="zh-CN"/>
        </w:rPr>
        <w:t>。</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上午：</w:t>
      </w:r>
      <w:r>
        <w:rPr>
          <w:rFonts w:hint="eastAsia" w:eastAsia="仿宋_GB2312" w:cs="Times New Roman"/>
          <w:b w:val="0"/>
          <w:bCs w:val="0"/>
          <w:sz w:val="32"/>
          <w:szCs w:val="32"/>
          <w:lang w:val="en-US" w:eastAsia="zh-CN"/>
        </w:rPr>
        <w:t>9:00</w:t>
      </w: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2</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下午：</w:t>
      </w:r>
      <w:r>
        <w:rPr>
          <w:rFonts w:hint="eastAsia"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3:3</w:t>
      </w:r>
      <w:r>
        <w:rPr>
          <w:rFonts w:hint="default" w:ascii="Times New Roman" w:hAnsi="Times New Roman" w:eastAsia="仿宋_GB2312" w:cs="Times New Roman"/>
          <w:b w:val="0"/>
          <w:bCs w:val="0"/>
          <w:sz w:val="32"/>
          <w:szCs w:val="32"/>
          <w:lang w:val="en-US" w:eastAsia="zh-CN"/>
        </w:rPr>
        <w:t>0—</w:t>
      </w:r>
      <w:r>
        <w:rPr>
          <w:rFonts w:hint="eastAsia" w:ascii="Times New Roman" w:hAnsi="Times New Roman"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0。</w:t>
      </w:r>
    </w:p>
    <w:p>
      <w:p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地址：银川市</w:t>
      </w:r>
      <w:r>
        <w:rPr>
          <w:rFonts w:hint="eastAsia" w:ascii="Times New Roman" w:hAnsi="Times New Roman" w:eastAsia="仿宋_GB2312" w:cs="Times New Roman"/>
          <w:b w:val="0"/>
          <w:bCs w:val="0"/>
          <w:sz w:val="32"/>
          <w:szCs w:val="32"/>
          <w:lang w:val="en-US" w:eastAsia="zh-CN"/>
        </w:rPr>
        <w:t>金凤区中海路44号，</w:t>
      </w:r>
      <w:r>
        <w:rPr>
          <w:rFonts w:hint="default" w:ascii="Times New Roman" w:hAnsi="Times New Roman" w:eastAsia="仿宋_GB2312" w:cs="Times New Roman"/>
          <w:b w:val="0"/>
          <w:bCs w:val="0"/>
          <w:sz w:val="32"/>
          <w:szCs w:val="32"/>
          <w:lang w:val="en-US" w:eastAsia="zh-CN"/>
        </w:rPr>
        <w:t>中国人民银行</w:t>
      </w:r>
      <w:r>
        <w:rPr>
          <w:rFonts w:hint="eastAsia" w:ascii="Times New Roman" w:hAnsi="Times New Roman" w:eastAsia="仿宋_GB2312" w:cs="Times New Roman"/>
          <w:b w:val="0"/>
          <w:bCs w:val="0"/>
          <w:sz w:val="32"/>
          <w:szCs w:val="32"/>
          <w:lang w:val="en-US" w:eastAsia="zh-CN"/>
        </w:rPr>
        <w:t>宁夏回族自治区分</w:t>
      </w:r>
      <w:r>
        <w:rPr>
          <w:rFonts w:hint="default" w:ascii="Times New Roman" w:hAnsi="Times New Roman" w:eastAsia="仿宋_GB2312" w:cs="Times New Roman"/>
          <w:b w:val="0"/>
          <w:bCs w:val="0"/>
          <w:sz w:val="32"/>
          <w:szCs w:val="32"/>
          <w:lang w:val="en-US" w:eastAsia="zh-CN"/>
        </w:rPr>
        <w:t>行</w:t>
      </w:r>
      <w:r>
        <w:rPr>
          <w:rFonts w:hint="eastAsia" w:ascii="Times New Roman" w:hAnsi="Times New Roman" w:eastAsia="仿宋_GB2312" w:cs="Times New Roman"/>
          <w:b w:val="0"/>
          <w:bCs w:val="0"/>
          <w:sz w:val="32"/>
          <w:szCs w:val="32"/>
          <w:lang w:val="en-US" w:eastAsia="zh-CN"/>
        </w:rPr>
        <w:t>国库处</w:t>
      </w:r>
      <w:r>
        <w:rPr>
          <w:rFonts w:hint="default" w:ascii="Times New Roman" w:hAnsi="Times New Roman" w:eastAsia="仿宋_GB2312" w:cs="Times New Roman"/>
          <w:b w:val="0"/>
          <w:bCs w:val="0"/>
          <w:sz w:val="32"/>
          <w:szCs w:val="32"/>
          <w:lang w:val="en-US" w:eastAsia="zh-CN"/>
        </w:rPr>
        <w:t>。</w:t>
      </w:r>
    </w:p>
    <w:p>
      <w:pPr>
        <w:numPr>
          <w:ilvl w:val="0"/>
          <w:numId w:val="0"/>
        </w:numPr>
        <w:ind w:leftChars="200"/>
        <w:jc w:val="both"/>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lang w:val="en-US"/>
        </w:rPr>
        <w:t>乘车路线</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val="0"/>
          <w:bCs w:val="0"/>
          <w:sz w:val="32"/>
          <w:szCs w:val="32"/>
          <w:lang w:val="en-US" w:eastAsia="zh-CN"/>
        </w:rPr>
        <w:t>乘</w:t>
      </w:r>
      <w:r>
        <w:rPr>
          <w:rFonts w:hint="eastAsia" w:ascii="Times New Roman" w:hAnsi="Times New Roman" w:eastAsia="仿宋_GB2312" w:cs="Times New Roman"/>
          <w:b w:val="0"/>
          <w:bCs w:val="0"/>
          <w:sz w:val="32"/>
          <w:szCs w:val="32"/>
          <w:lang w:val="en-US" w:eastAsia="zh-CN"/>
        </w:rPr>
        <w:t>52路公交车至银川市金凤区中海西路站</w:t>
      </w:r>
      <w:r>
        <w:rPr>
          <w:rFonts w:hint="default" w:ascii="Times New Roman" w:hAnsi="Times New Roman" w:eastAsia="仿宋_GB2312" w:cs="Times New Roman"/>
          <w:b w:val="0"/>
          <w:bCs w:val="0"/>
          <w:sz w:val="32"/>
          <w:szCs w:val="32"/>
          <w:lang w:val="en-US" w:eastAsia="zh-CN"/>
        </w:rPr>
        <w:t>。</w:t>
      </w: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pPr>
        <w:ind w:firstLine="600" w:firstLineChars="200"/>
        <w:rPr>
          <w:rFonts w:hint="default" w:ascii="Times New Roman" w:hAnsi="Times New Roman" w:eastAsia="仿宋_GB2312" w:cs="Times New Roman"/>
          <w:b w:val="0"/>
          <w:bCs w:val="0"/>
          <w:sz w:val="30"/>
          <w:szCs w:val="30"/>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16BB25D1"/>
    <w:rsid w:val="051D6235"/>
    <w:rsid w:val="16BB25D1"/>
    <w:rsid w:val="183F2899"/>
    <w:rsid w:val="19AC23E7"/>
    <w:rsid w:val="1ED674C6"/>
    <w:rsid w:val="2A08181F"/>
    <w:rsid w:val="32597080"/>
    <w:rsid w:val="391962A4"/>
    <w:rsid w:val="407D2963"/>
    <w:rsid w:val="428010B8"/>
    <w:rsid w:val="43D51AB7"/>
    <w:rsid w:val="44146659"/>
    <w:rsid w:val="4A6E29BC"/>
    <w:rsid w:val="4EBD54ED"/>
    <w:rsid w:val="513207EE"/>
    <w:rsid w:val="51F83281"/>
    <w:rsid w:val="53AB3AF6"/>
    <w:rsid w:val="58542F1C"/>
    <w:rsid w:val="5AE1774A"/>
    <w:rsid w:val="5BAF4BAC"/>
    <w:rsid w:val="60DE02BF"/>
    <w:rsid w:val="68B43E55"/>
    <w:rsid w:val="7E156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2016-12-05T02:13:00Z</dcterms:created>
  <dc:creator>冶玉龙/办公室/银川/PBC</dc:creator>
  <cp:lastModifiedBy>黄雅楠</cp:lastModifiedBy>
  <dcterms:modified xsi:type="dcterms:W3CDTF">2025-04-23T01:15:14Z</dcterms:modified>
  <dc:title>国债兑付业务办事指南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A7E542439917482989AC4B7E7EE4B4D6</vt:lpwstr>
  </property>
</Properties>
</file>